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4563E7A0" w:rsidR="00A2210F" w:rsidRDefault="00053D9B" w:rsidP="00A2210F">
      <w:pPr>
        <w:spacing w:after="0"/>
        <w:rPr>
          <w:rFonts w:eastAsia="Times New Roman"/>
          <w:szCs w:val="24"/>
          <w:lang w:eastAsia="zh-CN"/>
        </w:rPr>
      </w:pPr>
      <w:r>
        <w:rPr>
          <w:rFonts w:eastAsia="Times New Roman"/>
          <w:szCs w:val="24"/>
          <w:lang w:eastAsia="zh-CN"/>
        </w:rPr>
        <w:t xml:space="preserve">Sagatavots </w:t>
      </w:r>
      <w:r w:rsidR="00344FD9">
        <w:rPr>
          <w:rFonts w:eastAsia="Times New Roman"/>
          <w:szCs w:val="24"/>
          <w:u w:val="single"/>
          <w:lang w:eastAsia="zh-CN"/>
        </w:rPr>
        <w:t xml:space="preserve">             </w:t>
      </w:r>
      <w:r w:rsidR="00344FD9">
        <w:rPr>
          <w:rFonts w:eastAsia="Times New Roman"/>
          <w:szCs w:val="24"/>
          <w:lang w:eastAsia="zh-CN"/>
        </w:rPr>
        <w:t>.</w:t>
      </w:r>
      <w:r>
        <w:rPr>
          <w:rFonts w:eastAsia="Times New Roman"/>
          <w:szCs w:val="24"/>
          <w:lang w:eastAsia="zh-CN"/>
        </w:rPr>
        <w:t>202</w:t>
      </w:r>
      <w:r w:rsidR="006B3792">
        <w:rPr>
          <w:rFonts w:eastAsia="Times New Roman"/>
          <w:szCs w:val="24"/>
          <w:lang w:eastAsia="zh-CN"/>
        </w:rPr>
        <w:t>4</w:t>
      </w:r>
      <w:r w:rsidR="008C34AD">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Dokumenta datums ir tā elektroniskās parakstīšanas datums</w:t>
      </w:r>
    </w:p>
    <w:p w14:paraId="68944355" w14:textId="77777777" w:rsidR="00A2210F" w:rsidRPr="00AD61EB" w:rsidRDefault="00A2210F" w:rsidP="00A2210F">
      <w:pPr>
        <w:spacing w:after="0"/>
        <w:rPr>
          <w:rFonts w:eastAsia="Times New Roman"/>
          <w:szCs w:val="24"/>
          <w:lang w:eastAsia="zh-CN"/>
        </w:rPr>
      </w:pPr>
    </w:p>
    <w:p w14:paraId="1AE80C97" w14:textId="3FACEF79"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r w:rsidRPr="00AD61EB">
        <w:rPr>
          <w:rFonts w:eastAsia="Times New Roman"/>
          <w:b/>
          <w:szCs w:val="24"/>
          <w:lang w:eastAsia="zh-CN"/>
        </w:rPr>
        <w:t xml:space="preserve"> ,,</w:t>
      </w:r>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E25817">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r w:rsidR="006A4BED">
        <w:rPr>
          <w:rFonts w:eastAsia="Times New Roman"/>
          <w:b/>
          <w:bCs/>
          <w:szCs w:val="24"/>
          <w:u w:val="single"/>
          <w:lang w:eastAsia="zh-CN"/>
        </w:rPr>
        <w:t xml:space="preserve">            </w:t>
      </w:r>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189B71A8" w14:textId="3CBED9F4" w:rsidR="00971245" w:rsidRPr="00971245" w:rsidRDefault="00A2210F" w:rsidP="00971245">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00971245">
        <w:rPr>
          <w:rFonts w:eastAsia="Times New Roman"/>
          <w:szCs w:val="24"/>
        </w:rPr>
        <w:t xml:space="preserve">apņemas veikt </w:t>
      </w:r>
      <w:r w:rsidR="00971245" w:rsidRPr="00971245">
        <w:rPr>
          <w:rFonts w:eastAsia="Times New Roman"/>
          <w:b/>
          <w:szCs w:val="24"/>
        </w:rPr>
        <w:t>otrā stāva koridora grīdas remonta</w:t>
      </w:r>
      <w:r w:rsidR="006B3792" w:rsidRPr="00971245">
        <w:rPr>
          <w:rFonts w:eastAsia="SimSun"/>
          <w:b/>
          <w:bCs/>
          <w:kern w:val="2"/>
          <w:szCs w:val="24"/>
          <w:lang w:eastAsia="zh-CN"/>
        </w:rPr>
        <w:t xml:space="preserve"> </w:t>
      </w:r>
      <w:r w:rsidR="00053D9B" w:rsidRPr="00971245">
        <w:rPr>
          <w:rFonts w:eastAsia="Times New Roman"/>
          <w:b/>
          <w:szCs w:val="24"/>
        </w:rPr>
        <w:t>darbus</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971245">
        <w:rPr>
          <w:rFonts w:eastAsia="Times New Roman"/>
          <w:szCs w:val="24"/>
        </w:rPr>
        <w:t xml:space="preserve">saskaņā </w:t>
      </w:r>
      <w:r w:rsidR="00971245" w:rsidRPr="002533BF">
        <w:rPr>
          <w:rFonts w:eastAsia="Times New Roman"/>
          <w:szCs w:val="24"/>
        </w:rPr>
        <w:t xml:space="preserve">pievienoto </w:t>
      </w:r>
      <w:r w:rsidR="00971245">
        <w:rPr>
          <w:rFonts w:eastAsia="Times New Roman"/>
          <w:szCs w:val="24"/>
        </w:rPr>
        <w:t>apjomu tāmi, kas atrodas</w:t>
      </w:r>
      <w:r w:rsidR="00971245" w:rsidRPr="00AC33CD">
        <w:rPr>
          <w:b/>
          <w:szCs w:val="24"/>
        </w:rPr>
        <w:t xml:space="preserve"> </w:t>
      </w:r>
      <w:r w:rsidR="00971245" w:rsidRPr="00971245">
        <w:rPr>
          <w:b/>
          <w:szCs w:val="24"/>
        </w:rPr>
        <w:t>Pilsētas laukumā 4, Kuldīgā</w:t>
      </w:r>
      <w:r w:rsidR="00971245">
        <w:rPr>
          <w:b/>
          <w:szCs w:val="24"/>
        </w:rPr>
        <w:t>,</w:t>
      </w:r>
      <w:r w:rsidR="00971E0E">
        <w:rPr>
          <w:b/>
          <w:szCs w:val="24"/>
        </w:rPr>
        <w:t xml:space="preserve"> Kuldīgas novadā</w:t>
      </w:r>
      <w:r w:rsidR="00971245" w:rsidRPr="00153778">
        <w:rPr>
          <w:rFonts w:eastAsia="Times New Roman"/>
          <w:szCs w:val="24"/>
        </w:rPr>
        <w:t xml:space="preserve"> turpmāk tekstā saukts Objekts. </w:t>
      </w:r>
    </w:p>
    <w:p w14:paraId="6849D5E0" w14:textId="2D9A78A9"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0C0561">
        <w:rPr>
          <w:rFonts w:eastAsia="Times New Roman"/>
          <w:szCs w:val="24"/>
        </w:rPr>
        <w:t>, Līguma pielikums Nr.2</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1951614"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 xml:space="preserve">Līgums stājas spēkā tā noslēgšanas (abpusējas parakstīšanas) brīdī un ir spēkā līdz tiek izpildīti visi </w:t>
      </w:r>
      <w:r w:rsidR="00726C5D">
        <w:rPr>
          <w:rFonts w:eastAsia="Times New Roman"/>
          <w:szCs w:val="24"/>
          <w:lang w:eastAsia="zh-CN"/>
        </w:rPr>
        <w:t>L</w:t>
      </w:r>
      <w:r w:rsidRPr="001E11AD">
        <w:rPr>
          <w:rFonts w:eastAsia="Times New Roman"/>
          <w:szCs w:val="24"/>
          <w:lang w:eastAsia="zh-CN"/>
        </w:rPr>
        <w:t xml:space="preserve">īguma </w:t>
      </w:r>
      <w:r w:rsidR="008608DF">
        <w:rPr>
          <w:rFonts w:eastAsia="Times New Roman"/>
          <w:szCs w:val="24"/>
          <w:lang w:eastAsia="zh-CN"/>
        </w:rPr>
        <w:t>pielikumā Nr.2</w:t>
      </w:r>
      <w:r w:rsidR="00726C5D">
        <w:rPr>
          <w:rFonts w:eastAsia="Times New Roman"/>
          <w:szCs w:val="24"/>
          <w:lang w:eastAsia="zh-CN"/>
        </w:rPr>
        <w:t xml:space="preserve">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13F86C29"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E922B6">
        <w:rPr>
          <w:rFonts w:eastAsia="Times New Roman"/>
          <w:szCs w:val="24"/>
          <w:lang w:eastAsia="zh-CN"/>
        </w:rPr>
        <w:t>2</w:t>
      </w:r>
      <w:r w:rsidR="00A2210F" w:rsidRPr="001E11AD">
        <w:rPr>
          <w:rFonts w:eastAsia="Times New Roman"/>
          <w:szCs w:val="24"/>
          <w:lang w:eastAsia="zh-CN"/>
        </w:rPr>
        <w:t xml:space="preserve"> (</w:t>
      </w:r>
      <w:r w:rsidR="00E922B6">
        <w:rPr>
          <w:rFonts w:eastAsia="Times New Roman"/>
          <w:szCs w:val="24"/>
          <w:lang w:eastAsia="zh-CN"/>
        </w:rPr>
        <w:t>divas</w:t>
      </w:r>
      <w:r w:rsidR="00A2210F" w:rsidRPr="001E11AD">
        <w:rPr>
          <w:rFonts w:eastAsia="Times New Roman"/>
          <w:szCs w:val="24"/>
          <w:lang w:eastAsia="zh-CN"/>
        </w:rPr>
        <w:t xml:space="preserve">) </w:t>
      </w:r>
      <w:r w:rsidR="00E922B6">
        <w:rPr>
          <w:rFonts w:eastAsia="Times New Roman"/>
          <w:szCs w:val="24"/>
          <w:lang w:eastAsia="zh-CN"/>
        </w:rPr>
        <w:t>nedēļas</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5617B761"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  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7651F">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w:t>
      </w:r>
      <w:r w:rsidRPr="008F3C80">
        <w:rPr>
          <w:rFonts w:eastAsia="Times New Roman"/>
          <w:szCs w:val="24"/>
          <w:lang w:eastAsia="zh-CN"/>
        </w:rPr>
        <w:lastRenderedPageBreak/>
        <w:t xml:space="preserve">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ievērojot cenu aptaujas dokumentu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149707D9" w14:textId="3C8E658C"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iCs/>
          <w:szCs w:val="24"/>
          <w:lang w:eastAsia="zh-CN"/>
        </w:rPr>
        <w:t>Pasūtītājs</w:t>
      </w:r>
      <w:r w:rsidRPr="007A1A1B">
        <w:rPr>
          <w:rFonts w:eastAsia="Times New Roman"/>
          <w:szCs w:val="24"/>
          <w:lang w:eastAsia="zh-CN"/>
        </w:rPr>
        <w:t xml:space="preserve"> apņemas izsniegt Izpildītājam visu darba veikšanai nepieciešamo infor</w:t>
      </w:r>
      <w:r w:rsidR="006B3792">
        <w:rPr>
          <w:rFonts w:eastAsia="Times New Roman"/>
          <w:szCs w:val="24"/>
          <w:lang w:eastAsia="zh-CN"/>
        </w:rPr>
        <w:t>māciju un dokumentāciju, kā arī</w:t>
      </w:r>
      <w:r w:rsidRPr="007A1A1B">
        <w:rPr>
          <w:rFonts w:eastAsia="Times New Roman"/>
          <w:szCs w:val="24"/>
          <w:lang w:eastAsia="zh-CN"/>
        </w:rPr>
        <w:t xml:space="preserve"> 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papildus darbi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Izpildītājs pēc Darbu izpildes,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lastRenderedPageBreak/>
        <w:t xml:space="preserve">Darbu organizatoriskie jautājumi tiek izskatīti un risināti </w:t>
      </w:r>
      <w:r>
        <w:t>Pusēm savstarpēji vienojoties.</w:t>
      </w:r>
    </w:p>
    <w:p w14:paraId="74962235" w14:textId="18B2FC2C"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00173B53">
        <w:rPr>
          <w:rFonts w:eastAsia="Times New Roman"/>
          <w:szCs w:val="24"/>
          <w:lang w:eastAsia="zh-CN"/>
        </w:rPr>
        <w:t>2</w:t>
      </w:r>
      <w:r w:rsidR="00A2210F" w:rsidRPr="004976A0">
        <w:rPr>
          <w:rFonts w:eastAsia="Times New Roman"/>
          <w:szCs w:val="24"/>
          <w:lang w:eastAsia="zh-CN"/>
        </w:rPr>
        <w:t xml:space="preserve"> (</w:t>
      </w:r>
      <w:r w:rsidR="00567E02">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010DECA2"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w:t>
      </w:r>
      <w:r w:rsidR="00F64265">
        <w:rPr>
          <w:rFonts w:eastAsia="Times New Roman"/>
          <w:color w:val="000000"/>
          <w:szCs w:val="24"/>
          <w:lang w:eastAsia="zh-CN"/>
        </w:rPr>
        <w:t>ktu. Trūkumu novēršanai Līguma 2</w:t>
      </w:r>
      <w:r w:rsidRPr="004976A0">
        <w:rPr>
          <w:rFonts w:eastAsia="Times New Roman"/>
          <w:color w:val="000000"/>
          <w:szCs w:val="24"/>
          <w:lang w:eastAsia="zh-CN"/>
        </w:rPr>
        <w:t>.punktā noteiktais Darbu izpildes termiņš netiks pagarināts</w:t>
      </w:r>
      <w:r>
        <w:rPr>
          <w:rFonts w:eastAsia="Times New Roman"/>
          <w:color w:val="000000"/>
          <w:szCs w:val="24"/>
          <w:lang w:eastAsia="zh-CN"/>
        </w:rPr>
        <w:t>.</w:t>
      </w:r>
    </w:p>
    <w:p w14:paraId="01AFDC1B" w14:textId="77777777" w:rsidR="00D56899" w:rsidRPr="00236535" w:rsidRDefault="00D56899" w:rsidP="00D56899">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Līgumā noteiktajiem tehniskajiem parametriem un Objekta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4A60E14B" w14:textId="77777777" w:rsidR="00D56899" w:rsidRPr="004976A0" w:rsidRDefault="00D56899" w:rsidP="00D56899">
      <w:pPr>
        <w:pStyle w:val="ListParagraph"/>
        <w:widowControl w:val="0"/>
        <w:autoSpaceDE w:val="0"/>
        <w:autoSpaceDN w:val="0"/>
        <w:spacing w:after="0"/>
        <w:ind w:left="426"/>
        <w:jc w:val="both"/>
        <w:rPr>
          <w:rFonts w:eastAsia="Times New Roman"/>
          <w:color w:val="000000"/>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 par to rakstiski brīdinot otru Pusi.</w:t>
      </w:r>
    </w:p>
    <w:p w14:paraId="2149D4DD" w14:textId="31A0863E" w:rsidR="00EF1712" w:rsidRPr="00835349" w:rsidRDefault="00D324B8" w:rsidP="00835349">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5D1AF2E3"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w:t>
      </w:r>
      <w:r w:rsidR="00F83501">
        <w:t>ldes termiņu saskaņā ar Līguma 2</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 nodarīti pasūtītājam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ilgāk kā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Izpildītāja puses </w:t>
      </w:r>
      <w:r w:rsidR="006A4BED">
        <w:rPr>
          <w:rFonts w:eastAsia="Times New Roman"/>
          <w:szCs w:val="24"/>
          <w:u w:val="single"/>
          <w:lang w:eastAsia="zh-CN"/>
        </w:rPr>
        <w:t xml:space="preserve">              </w:t>
      </w:r>
      <w:r w:rsidRPr="009D727D">
        <w:rPr>
          <w:rFonts w:eastAsia="Times New Roman"/>
          <w:szCs w:val="24"/>
          <w:lang w:eastAsia="zh-CN"/>
        </w:rPr>
        <w:t>, 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485B0C08" w:rsidR="00D2726A" w:rsidRPr="009D727D" w:rsidRDefault="00054FF1"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Pr>
          <w:rFonts w:eastAsia="Times New Roman"/>
          <w:szCs w:val="24"/>
          <w:lang w:eastAsia="zh-CN"/>
        </w:rPr>
        <w:t xml:space="preserve">No </w:t>
      </w:r>
      <w:r w:rsidR="0091257A">
        <w:rPr>
          <w:rFonts w:eastAsia="Times New Roman"/>
          <w:szCs w:val="24"/>
          <w:lang w:eastAsia="zh-CN"/>
        </w:rPr>
        <w:t>Pasūtītāja puses Ieva Grota</w:t>
      </w:r>
      <w:r w:rsidR="00C724BB">
        <w:rPr>
          <w:rFonts w:eastAsia="Times New Roman"/>
          <w:szCs w:val="24"/>
          <w:lang w:eastAsia="zh-CN"/>
        </w:rPr>
        <w:t xml:space="preserve">, </w:t>
      </w:r>
      <w:r w:rsidR="00A2210F" w:rsidRPr="009D727D">
        <w:rPr>
          <w:rFonts w:eastAsia="Times New Roman"/>
          <w:szCs w:val="24"/>
          <w:lang w:eastAsia="zh-CN"/>
        </w:rPr>
        <w:t>tālru</w:t>
      </w:r>
      <w:r w:rsidR="009D727D">
        <w:rPr>
          <w:rFonts w:eastAsia="Times New Roman"/>
          <w:szCs w:val="24"/>
          <w:lang w:eastAsia="zh-CN"/>
        </w:rPr>
        <w:t>ņa Nr</w:t>
      </w:r>
      <w:r>
        <w:rPr>
          <w:rFonts w:eastAsia="Times New Roman"/>
          <w:szCs w:val="24"/>
          <w:lang w:eastAsia="zh-CN"/>
        </w:rPr>
        <w:t>.</w:t>
      </w:r>
      <w:r w:rsidR="00A2210F" w:rsidRPr="009D727D">
        <w:rPr>
          <w:rFonts w:eastAsia="Times New Roman"/>
          <w:szCs w:val="24"/>
          <w:lang w:eastAsia="zh-CN"/>
        </w:rPr>
        <w:t>:</w:t>
      </w:r>
      <w:r w:rsidR="0091257A">
        <w:rPr>
          <w:rFonts w:eastAsia="Times New Roman"/>
          <w:szCs w:val="24"/>
          <w:lang w:eastAsia="zh-CN"/>
        </w:rPr>
        <w:t xml:space="preserve"> 29229463</w:t>
      </w:r>
      <w:r w:rsidR="00A2210F" w:rsidRPr="009D727D">
        <w:rPr>
          <w:rFonts w:eastAsia="Times New Roman"/>
          <w:szCs w:val="24"/>
          <w:lang w:eastAsia="zh-CN"/>
        </w:rPr>
        <w:t>, e-pasts</w:t>
      </w:r>
      <w:r w:rsidR="00A2210F" w:rsidRPr="00A05921">
        <w:rPr>
          <w:rFonts w:eastAsia="Times New Roman"/>
          <w:color w:val="000000" w:themeColor="text1"/>
          <w:szCs w:val="24"/>
          <w:lang w:eastAsia="zh-CN"/>
        </w:rPr>
        <w:t xml:space="preserve">: </w:t>
      </w:r>
      <w:hyperlink r:id="rId6" w:history="1">
        <w:r w:rsidR="00D2726A" w:rsidRPr="00A05921">
          <w:rPr>
            <w:rStyle w:val="Hyperlink"/>
            <w:rFonts w:eastAsia="Times New Roman"/>
            <w:color w:val="000000" w:themeColor="text1"/>
            <w:szCs w:val="24"/>
            <w:u w:val="none"/>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6DCA954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sidR="00054FF1">
        <w:rPr>
          <w:rFonts w:eastAsia="Times New Roman"/>
          <w:szCs w:val="24"/>
          <w:lang w:eastAsia="zh-CN"/>
        </w:rPr>
        <w:t>Finanšu piedāvājums</w:t>
      </w:r>
      <w:r>
        <w:rPr>
          <w:rFonts w:eastAsia="Times New Roman"/>
          <w:szCs w:val="24"/>
          <w:lang w:eastAsia="zh-CN"/>
        </w:rPr>
        <w:t xml:space="preserve">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49A0603B" w14:textId="77777777" w:rsidR="004F54D5" w:rsidRDefault="004F54D5" w:rsidP="006A1F9B">
      <w:pPr>
        <w:spacing w:after="0"/>
        <w:ind w:left="709" w:hanging="283"/>
        <w:jc w:val="both"/>
        <w:rPr>
          <w:rFonts w:eastAsia="Times New Roman"/>
          <w:szCs w:val="24"/>
          <w:lang w:eastAsia="zh-CN"/>
        </w:rPr>
      </w:pPr>
    </w:p>
    <w:p w14:paraId="28988FDA" w14:textId="77777777" w:rsidR="004F54D5" w:rsidRDefault="004F54D5"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t xml:space="preserve">           </w:t>
      </w:r>
      <w:r w:rsidR="009D727D">
        <w:rPr>
          <w:rFonts w:eastAsia="Times New Roman"/>
          <w:b/>
          <w:szCs w:val="24"/>
          <w:lang w:eastAsia="zh-CN"/>
        </w:rPr>
        <w:t xml:space="preserve"> </w:t>
      </w:r>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r w:rsidR="006A4BED">
        <w:rPr>
          <w:rFonts w:eastAsia="Times New Roman"/>
          <w:b/>
          <w:bCs/>
          <w:szCs w:val="24"/>
          <w:u w:val="single"/>
        </w:rPr>
        <w:t xml:space="preserve">         </w:t>
      </w:r>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30B178E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w:t>
      </w:r>
      <w:r w:rsidR="006B3792">
        <w:rPr>
          <w:rFonts w:eastAsia="Times New Roman"/>
          <w:szCs w:val="24"/>
          <w:lang w:eastAsia="zh-CN"/>
        </w:rPr>
        <w:t>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3268D546"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C668AF">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49FF5451"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r w:rsidR="005B23D4">
        <w:rPr>
          <w:rFonts w:eastAsia="Times New Roman"/>
          <w:szCs w:val="24"/>
          <w:lang w:eastAsia="zh-CN"/>
        </w:rPr>
        <w:t xml:space="preserve"> A/S </w:t>
      </w:r>
      <w:bookmarkStart w:id="1" w:name="_GoBack"/>
      <w:bookmarkEnd w:id="1"/>
      <w:r w:rsidR="005B23D4">
        <w:rPr>
          <w:rFonts w:eastAsia="Times New Roman"/>
          <w:szCs w:val="24"/>
          <w:lang w:eastAsia="zh-CN"/>
        </w:rPr>
        <w:t>Swedbank</w:t>
      </w:r>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9D4CAD">
          <w:rPr>
            <w:rStyle w:val="Hyperlink"/>
            <w:rFonts w:eastAsia="Times New Roman"/>
            <w:color w:val="000000" w:themeColor="text1"/>
            <w:szCs w:val="24"/>
            <w:u w:val="none"/>
            <w:shd w:val="clear" w:color="auto" w:fill="FFFFFF"/>
            <w:lang w:val="en-US" w:eastAsia="zh-CN"/>
          </w:rPr>
          <w:t>kkp@kuldiga.lv</w:t>
        </w:r>
      </w:hyperlink>
      <w:r w:rsidR="009D727D" w:rsidRPr="009D4CAD">
        <w:rPr>
          <w:rFonts w:eastAsia="Times New Roman"/>
          <w:i/>
          <w:color w:val="000000" w:themeColor="text1"/>
          <w:szCs w:val="24"/>
          <w:lang w:eastAsia="zh-CN"/>
        </w:rPr>
        <w:t xml:space="preserve">  </w:t>
      </w:r>
      <w:r w:rsidR="009D727D">
        <w:rPr>
          <w:rFonts w:eastAsia="Times New Roman"/>
          <w:szCs w:val="24"/>
          <w:lang w:eastAsia="zh-CN"/>
        </w:rPr>
        <w:t xml:space="preserve"> </w:t>
      </w:r>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D11502">
        <w:rPr>
          <w:rFonts w:eastAsia="Times New Roman"/>
          <w:szCs w:val="24"/>
          <w:lang w:eastAsia="zh-CN"/>
        </w:rPr>
        <w:t xml:space="preserve">  </w:t>
      </w:r>
      <w:r w:rsidR="00A2210F" w:rsidRPr="00AD61EB">
        <w:rPr>
          <w:rFonts w:eastAsia="Times New Roman"/>
          <w:szCs w:val="24"/>
          <w:lang w:eastAsia="zh-CN"/>
        </w:rPr>
        <w:t xml:space="preserve"> </w:t>
      </w:r>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5" w15:restartNumberingAfterBreak="0">
    <w:nsid w:val="5E4F8515"/>
    <w:multiLevelType w:val="singleLevel"/>
    <w:tmpl w:val="5E4F8515"/>
    <w:lvl w:ilvl="0">
      <w:start w:val="5"/>
      <w:numFmt w:val="decimal"/>
      <w:suff w:val="space"/>
      <w:lvlText w:val="%1."/>
      <w:lvlJc w:val="left"/>
    </w:lvl>
  </w:abstractNum>
  <w:abstractNum w:abstractNumId="16"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7"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8" w15:restartNumberingAfterBreak="0">
    <w:nsid w:val="76D514B5"/>
    <w:multiLevelType w:val="multilevel"/>
    <w:tmpl w:val="8DF439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0"/>
        <w:szCs w:val="24"/>
      </w:rPr>
    </w:lvl>
    <w:lvl w:ilvl="2">
      <w:start w:val="1"/>
      <w:numFmt w:val="decimal"/>
      <w:lvlText w:val="%1.%2.%3."/>
      <w:lvlJc w:val="left"/>
      <w:pPr>
        <w:tabs>
          <w:tab w:val="num" w:pos="1004"/>
        </w:tabs>
        <w:ind w:left="788" w:hanging="504"/>
      </w:pPr>
      <w:rPr>
        <w:b w:val="0"/>
        <w:sz w:val="20"/>
        <w:szCs w:val="24"/>
      </w:rPr>
    </w:lvl>
    <w:lvl w:ilvl="3">
      <w:start w:val="1"/>
      <w:numFmt w:val="decimal"/>
      <w:lvlText w:val="%1.%2.%3.%4."/>
      <w:lvlJc w:val="left"/>
      <w:pPr>
        <w:tabs>
          <w:tab w:val="num" w:pos="1800"/>
        </w:tabs>
        <w:ind w:left="1728" w:hanging="648"/>
      </w:pPr>
      <w:rPr>
        <w:sz w:val="20"/>
      </w:rPr>
    </w:lvl>
    <w:lvl w:ilvl="4">
      <w:start w:val="1"/>
      <w:numFmt w:val="decimal"/>
      <w:lvlText w:val="%1.%2.%3.%4.%5."/>
      <w:lvlJc w:val="left"/>
      <w:pPr>
        <w:tabs>
          <w:tab w:val="num" w:pos="2520"/>
        </w:tabs>
        <w:ind w:left="2232" w:hanging="792"/>
      </w:pPr>
      <w:rPr>
        <w:sz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5"/>
  </w:num>
  <w:num w:numId="3">
    <w:abstractNumId w:val="6"/>
  </w:num>
  <w:num w:numId="4">
    <w:abstractNumId w:val="4"/>
  </w:num>
  <w:num w:numId="5">
    <w:abstractNumId w:val="15"/>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7"/>
  </w:num>
  <w:num w:numId="16">
    <w:abstractNumId w:val="13"/>
  </w:num>
  <w:num w:numId="17">
    <w:abstractNumId w:val="16"/>
  </w:num>
  <w:num w:numId="18">
    <w:abstractNumId w:val="19"/>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53CD4"/>
    <w:rsid w:val="00053D9B"/>
    <w:rsid w:val="00054FF1"/>
    <w:rsid w:val="000635AB"/>
    <w:rsid w:val="00086399"/>
    <w:rsid w:val="000A768C"/>
    <w:rsid w:val="000C0561"/>
    <w:rsid w:val="000D28A3"/>
    <w:rsid w:val="000E3819"/>
    <w:rsid w:val="00106103"/>
    <w:rsid w:val="00113651"/>
    <w:rsid w:val="00173B53"/>
    <w:rsid w:val="001B68E7"/>
    <w:rsid w:val="001E11AD"/>
    <w:rsid w:val="00236535"/>
    <w:rsid w:val="00236CAA"/>
    <w:rsid w:val="002533BF"/>
    <w:rsid w:val="003233D2"/>
    <w:rsid w:val="00330AD7"/>
    <w:rsid w:val="00344FD9"/>
    <w:rsid w:val="003F560B"/>
    <w:rsid w:val="004739D8"/>
    <w:rsid w:val="004976A0"/>
    <w:rsid w:val="004D1D9E"/>
    <w:rsid w:val="004E111F"/>
    <w:rsid w:val="004E4F51"/>
    <w:rsid w:val="004F54D5"/>
    <w:rsid w:val="00514177"/>
    <w:rsid w:val="005623FA"/>
    <w:rsid w:val="00567E02"/>
    <w:rsid w:val="005A20A3"/>
    <w:rsid w:val="005B23D4"/>
    <w:rsid w:val="005C71BB"/>
    <w:rsid w:val="00624AEC"/>
    <w:rsid w:val="00696CC2"/>
    <w:rsid w:val="006A1F9B"/>
    <w:rsid w:val="006A4BED"/>
    <w:rsid w:val="006B3792"/>
    <w:rsid w:val="006D5EBA"/>
    <w:rsid w:val="0071417E"/>
    <w:rsid w:val="00726C5D"/>
    <w:rsid w:val="00737D37"/>
    <w:rsid w:val="00790231"/>
    <w:rsid w:val="00796716"/>
    <w:rsid w:val="007A1A1B"/>
    <w:rsid w:val="007F6742"/>
    <w:rsid w:val="00827468"/>
    <w:rsid w:val="00835349"/>
    <w:rsid w:val="008608DF"/>
    <w:rsid w:val="0087651F"/>
    <w:rsid w:val="00893038"/>
    <w:rsid w:val="008972C5"/>
    <w:rsid w:val="008B438F"/>
    <w:rsid w:val="008C34AD"/>
    <w:rsid w:val="008C521A"/>
    <w:rsid w:val="008F3C80"/>
    <w:rsid w:val="009040E8"/>
    <w:rsid w:val="00906FF8"/>
    <w:rsid w:val="0091257A"/>
    <w:rsid w:val="00935B62"/>
    <w:rsid w:val="00947814"/>
    <w:rsid w:val="00956320"/>
    <w:rsid w:val="00971245"/>
    <w:rsid w:val="00971E0E"/>
    <w:rsid w:val="00992F3D"/>
    <w:rsid w:val="009D2FF2"/>
    <w:rsid w:val="009D4CAD"/>
    <w:rsid w:val="009D727D"/>
    <w:rsid w:val="00A05921"/>
    <w:rsid w:val="00A2210F"/>
    <w:rsid w:val="00A720F2"/>
    <w:rsid w:val="00B2063A"/>
    <w:rsid w:val="00B355E0"/>
    <w:rsid w:val="00B94F44"/>
    <w:rsid w:val="00C1301E"/>
    <w:rsid w:val="00C668AF"/>
    <w:rsid w:val="00C724BB"/>
    <w:rsid w:val="00D11502"/>
    <w:rsid w:val="00D2726A"/>
    <w:rsid w:val="00D324B8"/>
    <w:rsid w:val="00D56899"/>
    <w:rsid w:val="00D57168"/>
    <w:rsid w:val="00D73EB0"/>
    <w:rsid w:val="00DC4513"/>
    <w:rsid w:val="00E03614"/>
    <w:rsid w:val="00E13318"/>
    <w:rsid w:val="00E25817"/>
    <w:rsid w:val="00E33E59"/>
    <w:rsid w:val="00E43C43"/>
    <w:rsid w:val="00E47D9E"/>
    <w:rsid w:val="00E922B6"/>
    <w:rsid w:val="00E938E2"/>
    <w:rsid w:val="00EA78F8"/>
    <w:rsid w:val="00ED2323"/>
    <w:rsid w:val="00EF1712"/>
    <w:rsid w:val="00F00B0E"/>
    <w:rsid w:val="00F558AC"/>
    <w:rsid w:val="00F64265"/>
    <w:rsid w:val="00F83501"/>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numbering" w:customStyle="1" w:styleId="Style1">
    <w:name w:val="Style1"/>
    <w:rsid w:val="00106103"/>
    <w:pPr>
      <w:numPr>
        <w:numId w:val="20"/>
      </w:numPr>
    </w:pPr>
  </w:style>
  <w:style w:type="paragraph" w:styleId="BalloonText">
    <w:name w:val="Balloon Text"/>
    <w:basedOn w:val="Normal"/>
    <w:link w:val="BalloonTextChar"/>
    <w:uiPriority w:val="99"/>
    <w:semiHidden/>
    <w:unhideWhenUsed/>
    <w:rsid w:val="00F64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233E-27EF-4D93-A605-4BD44572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7287</Words>
  <Characters>4154</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55</cp:revision>
  <cp:lastPrinted>2024-05-07T09:18:00Z</cp:lastPrinted>
  <dcterms:created xsi:type="dcterms:W3CDTF">2023-02-22T08:04:00Z</dcterms:created>
  <dcterms:modified xsi:type="dcterms:W3CDTF">2024-05-08T04:59:00Z</dcterms:modified>
</cp:coreProperties>
</file>