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6A1F" w14:textId="317337A3" w:rsidR="00FC399B" w:rsidRPr="003364C1" w:rsidRDefault="00E55ADA" w:rsidP="00E55ADA">
      <w:pPr>
        <w:jc w:val="center"/>
        <w:rPr>
          <w:rFonts w:ascii="Times New Roman" w:hAnsi="Times New Roman" w:cs="Times New Roman"/>
          <w:b/>
          <w:bCs/>
          <w:sz w:val="24"/>
          <w:szCs w:val="24"/>
        </w:rPr>
      </w:pPr>
      <w:r w:rsidRPr="003364C1">
        <w:rPr>
          <w:rFonts w:ascii="Times New Roman" w:hAnsi="Times New Roman" w:cs="Times New Roman"/>
          <w:b/>
          <w:bCs/>
          <w:sz w:val="24"/>
          <w:szCs w:val="24"/>
        </w:rPr>
        <w:t>VALDES LOCEKĻU ATLĪDZĪBAS POLITIKA</w:t>
      </w:r>
    </w:p>
    <w:p w14:paraId="6B37F023" w14:textId="77777777" w:rsidR="00E55ADA" w:rsidRDefault="00E55ADA" w:rsidP="000159BC">
      <w:pPr>
        <w:spacing w:line="240" w:lineRule="auto"/>
        <w:jc w:val="center"/>
        <w:rPr>
          <w:rFonts w:ascii="Times New Roman" w:hAnsi="Times New Roman" w:cs="Times New Roman"/>
          <w:b/>
          <w:bCs/>
        </w:rPr>
      </w:pPr>
    </w:p>
    <w:p w14:paraId="2DE9E41B" w14:textId="068DB543" w:rsidR="00E55ADA" w:rsidRPr="003364C1" w:rsidRDefault="00E55ADA" w:rsidP="00FA4FF8">
      <w:pPr>
        <w:pStyle w:val="ListParagraph"/>
        <w:numPr>
          <w:ilvl w:val="0"/>
          <w:numId w:val="1"/>
        </w:numPr>
        <w:spacing w:line="240" w:lineRule="auto"/>
        <w:ind w:left="284" w:hanging="284"/>
        <w:jc w:val="both"/>
        <w:rPr>
          <w:rFonts w:ascii="Times New Roman" w:hAnsi="Times New Roman" w:cs="Times New Roman"/>
          <w:b/>
          <w:bCs/>
          <w:sz w:val="24"/>
          <w:szCs w:val="24"/>
        </w:rPr>
      </w:pPr>
      <w:bookmarkStart w:id="0" w:name="_Hlk216769006"/>
      <w:r w:rsidRPr="003364C1">
        <w:rPr>
          <w:rFonts w:ascii="Times New Roman" w:hAnsi="Times New Roman" w:cs="Times New Roman"/>
          <w:b/>
          <w:bCs/>
          <w:sz w:val="24"/>
          <w:szCs w:val="24"/>
        </w:rPr>
        <w:t>Mērķis</w:t>
      </w:r>
    </w:p>
    <w:p w14:paraId="6D6A832D" w14:textId="1CA2B51D" w:rsidR="00E55ADA" w:rsidRPr="003364C1" w:rsidRDefault="00E55ADA" w:rsidP="000159BC">
      <w:pPr>
        <w:pStyle w:val="Default"/>
        <w:ind w:left="360" w:firstLine="360"/>
        <w:jc w:val="both"/>
        <w:rPr>
          <w:sz w:val="22"/>
          <w:szCs w:val="22"/>
        </w:rPr>
      </w:pPr>
      <w:r w:rsidRPr="003364C1">
        <w:rPr>
          <w:sz w:val="22"/>
          <w:szCs w:val="22"/>
        </w:rPr>
        <w:t xml:space="preserve">SIA  “KULDĪGAS </w:t>
      </w:r>
      <w:r w:rsidR="00391881">
        <w:rPr>
          <w:sz w:val="22"/>
          <w:szCs w:val="22"/>
        </w:rPr>
        <w:t>KOMUNĀLIE PAKALPOJUMI</w:t>
      </w:r>
      <w:r w:rsidRPr="003364C1">
        <w:rPr>
          <w:sz w:val="22"/>
          <w:szCs w:val="22"/>
        </w:rPr>
        <w:t xml:space="preserve">” (turpmāk – </w:t>
      </w:r>
      <w:r w:rsidR="00BB544C" w:rsidRPr="003364C1">
        <w:rPr>
          <w:sz w:val="22"/>
          <w:szCs w:val="22"/>
        </w:rPr>
        <w:t>Sabiedrība</w:t>
      </w:r>
      <w:r w:rsidRPr="003364C1">
        <w:rPr>
          <w:sz w:val="22"/>
          <w:szCs w:val="22"/>
        </w:rPr>
        <w:t>) valdes locekļu atlīdzības politikas (turpmāk – politika) mērķis ir noteikt labai pārvaldībai atbilstošus valdes locekļu atlīdzības noteikšanas un pārskatīšanas principus.</w:t>
      </w:r>
    </w:p>
    <w:bookmarkEnd w:id="0"/>
    <w:p w14:paraId="48832528" w14:textId="77777777" w:rsidR="000159BC" w:rsidRPr="00E55ADA" w:rsidRDefault="000159BC" w:rsidP="00E55ADA">
      <w:pPr>
        <w:pStyle w:val="Default"/>
        <w:spacing w:line="276" w:lineRule="auto"/>
        <w:ind w:left="360" w:firstLine="360"/>
        <w:jc w:val="both"/>
        <w:rPr>
          <w:sz w:val="23"/>
          <w:szCs w:val="23"/>
        </w:rPr>
      </w:pPr>
    </w:p>
    <w:p w14:paraId="6315A9A9" w14:textId="18E70117" w:rsidR="00E55ADA" w:rsidRPr="003364C1" w:rsidRDefault="00E55ADA" w:rsidP="00FA4FF8">
      <w:pPr>
        <w:pStyle w:val="ListParagraph"/>
        <w:numPr>
          <w:ilvl w:val="0"/>
          <w:numId w:val="1"/>
        </w:numPr>
        <w:spacing w:line="240" w:lineRule="auto"/>
        <w:ind w:left="284" w:hanging="284"/>
        <w:jc w:val="both"/>
        <w:rPr>
          <w:rFonts w:ascii="Times New Roman" w:hAnsi="Times New Roman" w:cs="Times New Roman"/>
          <w:b/>
          <w:bCs/>
          <w:sz w:val="24"/>
          <w:szCs w:val="24"/>
        </w:rPr>
      </w:pPr>
      <w:bookmarkStart w:id="1" w:name="_Hlk216769067"/>
      <w:r w:rsidRPr="003364C1">
        <w:rPr>
          <w:rFonts w:ascii="Times New Roman" w:hAnsi="Times New Roman" w:cs="Times New Roman"/>
          <w:b/>
          <w:bCs/>
          <w:sz w:val="24"/>
          <w:szCs w:val="24"/>
        </w:rPr>
        <w:t>Uzdevums</w:t>
      </w:r>
    </w:p>
    <w:p w14:paraId="1EE4151C" w14:textId="77777777" w:rsidR="00E55ADA" w:rsidRPr="003364C1" w:rsidRDefault="00E55ADA" w:rsidP="00416EB6">
      <w:pPr>
        <w:pStyle w:val="Default"/>
        <w:ind w:left="357" w:firstLine="363"/>
        <w:jc w:val="both"/>
        <w:rPr>
          <w:sz w:val="22"/>
          <w:szCs w:val="22"/>
        </w:rPr>
      </w:pPr>
      <w:r w:rsidRPr="003364C1">
        <w:rPr>
          <w:sz w:val="22"/>
          <w:szCs w:val="22"/>
        </w:rPr>
        <w:t>Atlīdzības politikas uzdevums ir nodrošināt:</w:t>
      </w:r>
    </w:p>
    <w:p w14:paraId="2F0A9051" w14:textId="77777777" w:rsidR="00E55ADA" w:rsidRPr="003364C1" w:rsidRDefault="00E55ADA" w:rsidP="000159BC">
      <w:pPr>
        <w:pStyle w:val="Default"/>
        <w:numPr>
          <w:ilvl w:val="0"/>
          <w:numId w:val="2"/>
        </w:numPr>
        <w:jc w:val="both"/>
        <w:rPr>
          <w:sz w:val="22"/>
          <w:szCs w:val="22"/>
        </w:rPr>
      </w:pPr>
      <w:r w:rsidRPr="003364C1">
        <w:rPr>
          <w:sz w:val="22"/>
          <w:szCs w:val="22"/>
        </w:rPr>
        <w:t>atlīdzību, kas ir samērīga un atbilstoša valdes profesionālajam sniegumam;</w:t>
      </w:r>
    </w:p>
    <w:p w14:paraId="434F2F4B" w14:textId="77777777" w:rsidR="00E55ADA" w:rsidRPr="003364C1" w:rsidRDefault="00E55ADA" w:rsidP="000159BC">
      <w:pPr>
        <w:pStyle w:val="Default"/>
        <w:numPr>
          <w:ilvl w:val="0"/>
          <w:numId w:val="2"/>
        </w:numPr>
        <w:jc w:val="both"/>
        <w:rPr>
          <w:sz w:val="22"/>
          <w:szCs w:val="22"/>
        </w:rPr>
      </w:pPr>
      <w:r w:rsidRPr="003364C1">
        <w:rPr>
          <w:sz w:val="22"/>
          <w:szCs w:val="22"/>
        </w:rPr>
        <w:t>atlīdzības noteikšanu saskaņā ar ekonomisko situāciju un nozares atlīdzības līmeni, kā arī ievērojot citu kapitālsabiedrību vadošo darbinieku atlīdzību;</w:t>
      </w:r>
    </w:p>
    <w:p w14:paraId="4FD62F1B" w14:textId="77777777" w:rsidR="00E55ADA" w:rsidRPr="003364C1" w:rsidRDefault="00E55ADA" w:rsidP="000159BC">
      <w:pPr>
        <w:pStyle w:val="Default"/>
        <w:numPr>
          <w:ilvl w:val="0"/>
          <w:numId w:val="2"/>
        </w:numPr>
        <w:jc w:val="both"/>
        <w:rPr>
          <w:sz w:val="22"/>
          <w:szCs w:val="22"/>
        </w:rPr>
      </w:pPr>
      <w:r w:rsidRPr="003364C1">
        <w:rPr>
          <w:sz w:val="22"/>
          <w:szCs w:val="22"/>
        </w:rPr>
        <w:t>interešu konflikta novēršanu un caurskatāmību atlīdzības piešķiršanas procesu.</w:t>
      </w:r>
    </w:p>
    <w:p w14:paraId="2A5DBAFB" w14:textId="77777777" w:rsidR="00E55ADA" w:rsidRPr="00E55ADA" w:rsidRDefault="00E55ADA" w:rsidP="00E55ADA">
      <w:pPr>
        <w:spacing w:line="276" w:lineRule="auto"/>
        <w:ind w:left="426"/>
        <w:jc w:val="both"/>
        <w:rPr>
          <w:rFonts w:ascii="Times New Roman" w:hAnsi="Times New Roman" w:cs="Times New Roman"/>
          <w:b/>
          <w:bCs/>
        </w:rPr>
      </w:pPr>
      <w:bookmarkStart w:id="2" w:name="_Hlk216769077"/>
      <w:bookmarkEnd w:id="1"/>
    </w:p>
    <w:p w14:paraId="30179ADC" w14:textId="61DE4F23" w:rsidR="00E55ADA" w:rsidRPr="003364C1" w:rsidRDefault="00E55ADA" w:rsidP="00FA4FF8">
      <w:pPr>
        <w:pStyle w:val="ListParagraph"/>
        <w:numPr>
          <w:ilvl w:val="0"/>
          <w:numId w:val="1"/>
        </w:numPr>
        <w:spacing w:line="276" w:lineRule="auto"/>
        <w:ind w:left="284" w:hanging="284"/>
        <w:jc w:val="both"/>
        <w:rPr>
          <w:rFonts w:ascii="Times New Roman" w:hAnsi="Times New Roman" w:cs="Times New Roman"/>
          <w:b/>
          <w:bCs/>
          <w:sz w:val="24"/>
          <w:szCs w:val="24"/>
        </w:rPr>
      </w:pPr>
      <w:r w:rsidRPr="003364C1">
        <w:rPr>
          <w:rFonts w:ascii="Times New Roman" w:hAnsi="Times New Roman" w:cs="Times New Roman"/>
          <w:b/>
          <w:bCs/>
          <w:sz w:val="24"/>
          <w:szCs w:val="24"/>
        </w:rPr>
        <w:t>Atlīdzības principi</w:t>
      </w:r>
    </w:p>
    <w:tbl>
      <w:tblPr>
        <w:tblStyle w:val="TableGrid"/>
        <w:tblW w:w="8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122"/>
        <w:gridCol w:w="2122"/>
        <w:gridCol w:w="2122"/>
      </w:tblGrid>
      <w:tr w:rsidR="000159BC" w14:paraId="60847BD5" w14:textId="77777777" w:rsidTr="00DB70A9">
        <w:trPr>
          <w:trHeight w:val="268"/>
        </w:trPr>
        <w:tc>
          <w:tcPr>
            <w:tcW w:w="2122" w:type="dxa"/>
          </w:tcPr>
          <w:p w14:paraId="5EDE9235" w14:textId="7B7F3A07" w:rsidR="000159BC" w:rsidRPr="000159BC" w:rsidRDefault="000159BC" w:rsidP="006F2D83">
            <w:pPr>
              <w:spacing w:line="276" w:lineRule="auto"/>
              <w:rPr>
                <w:rFonts w:ascii="Times New Roman" w:hAnsi="Times New Roman" w:cs="Times New Roman"/>
                <w:b/>
                <w:bCs/>
                <w:u w:val="single"/>
              </w:rPr>
            </w:pPr>
            <w:r w:rsidRPr="000159BC">
              <w:rPr>
                <w:rFonts w:ascii="Times New Roman" w:hAnsi="Times New Roman" w:cs="Times New Roman"/>
                <w:b/>
                <w:bCs/>
                <w:u w:val="single"/>
              </w:rPr>
              <w:t>Atbilstība</w:t>
            </w:r>
          </w:p>
        </w:tc>
        <w:tc>
          <w:tcPr>
            <w:tcW w:w="2122" w:type="dxa"/>
          </w:tcPr>
          <w:p w14:paraId="1B9BEF3F" w14:textId="5A5D6351" w:rsidR="000159BC" w:rsidRPr="000159BC" w:rsidRDefault="000159BC" w:rsidP="006F2D83">
            <w:pPr>
              <w:spacing w:line="276" w:lineRule="auto"/>
              <w:rPr>
                <w:rFonts w:ascii="Times New Roman" w:hAnsi="Times New Roman" w:cs="Times New Roman"/>
                <w:b/>
                <w:bCs/>
                <w:u w:val="single"/>
              </w:rPr>
            </w:pPr>
            <w:r w:rsidRPr="000159BC">
              <w:rPr>
                <w:rFonts w:ascii="Times New Roman" w:hAnsi="Times New Roman" w:cs="Times New Roman"/>
                <w:b/>
                <w:bCs/>
                <w:u w:val="single"/>
              </w:rPr>
              <w:t>Konkurētspēja</w:t>
            </w:r>
          </w:p>
        </w:tc>
        <w:tc>
          <w:tcPr>
            <w:tcW w:w="2122" w:type="dxa"/>
          </w:tcPr>
          <w:p w14:paraId="4835FE41" w14:textId="527DF11D" w:rsidR="000159BC" w:rsidRPr="000159BC" w:rsidRDefault="000159BC" w:rsidP="006F2D83">
            <w:pPr>
              <w:spacing w:line="276" w:lineRule="auto"/>
              <w:rPr>
                <w:rFonts w:ascii="Times New Roman" w:hAnsi="Times New Roman" w:cs="Times New Roman"/>
                <w:b/>
                <w:bCs/>
                <w:u w:val="single"/>
              </w:rPr>
            </w:pPr>
            <w:r w:rsidRPr="000159BC">
              <w:rPr>
                <w:rFonts w:ascii="Times New Roman" w:hAnsi="Times New Roman" w:cs="Times New Roman"/>
                <w:b/>
                <w:bCs/>
                <w:u w:val="single"/>
              </w:rPr>
              <w:t>Taisnīgums</w:t>
            </w:r>
          </w:p>
        </w:tc>
        <w:tc>
          <w:tcPr>
            <w:tcW w:w="2122" w:type="dxa"/>
          </w:tcPr>
          <w:p w14:paraId="5A67F08F" w14:textId="73BBF342" w:rsidR="000159BC" w:rsidRPr="000159BC" w:rsidRDefault="000159BC" w:rsidP="006F2D83">
            <w:pPr>
              <w:spacing w:line="276" w:lineRule="auto"/>
              <w:rPr>
                <w:rFonts w:ascii="Times New Roman" w:hAnsi="Times New Roman" w:cs="Times New Roman"/>
                <w:b/>
                <w:bCs/>
                <w:u w:val="single"/>
              </w:rPr>
            </w:pPr>
            <w:r w:rsidRPr="000159BC">
              <w:rPr>
                <w:rFonts w:ascii="Times New Roman" w:hAnsi="Times New Roman" w:cs="Times New Roman"/>
                <w:b/>
                <w:bCs/>
                <w:u w:val="single"/>
              </w:rPr>
              <w:t>Atklātība</w:t>
            </w:r>
          </w:p>
        </w:tc>
      </w:tr>
      <w:tr w:rsidR="000159BC" w14:paraId="7ADB0FB3" w14:textId="77777777" w:rsidTr="00DB70A9">
        <w:trPr>
          <w:trHeight w:val="1651"/>
        </w:trPr>
        <w:tc>
          <w:tcPr>
            <w:tcW w:w="2122" w:type="dxa"/>
          </w:tcPr>
          <w:p w14:paraId="558F8B12" w14:textId="253A5297" w:rsidR="000159BC" w:rsidRPr="000159BC" w:rsidRDefault="000159BC" w:rsidP="006F2D83">
            <w:pPr>
              <w:rPr>
                <w:rFonts w:ascii="Times New Roman" w:hAnsi="Times New Roman" w:cs="Times New Roman"/>
              </w:rPr>
            </w:pPr>
            <w:r w:rsidRPr="000159BC">
              <w:rPr>
                <w:rFonts w:ascii="Times New Roman" w:hAnsi="Times New Roman" w:cs="Times New Roman"/>
              </w:rPr>
              <w:t>Saskaņā ar normatīvajiem aktiem</w:t>
            </w:r>
            <w:r w:rsidR="00CD5BB5">
              <w:rPr>
                <w:rStyle w:val="FootnoteReference"/>
                <w:rFonts w:ascii="Times New Roman" w:hAnsi="Times New Roman" w:cs="Times New Roman"/>
              </w:rPr>
              <w:footnoteReference w:id="1"/>
            </w:r>
            <w:r w:rsidRPr="000159BC">
              <w:rPr>
                <w:rFonts w:ascii="Times New Roman" w:hAnsi="Times New Roman" w:cs="Times New Roman"/>
              </w:rPr>
              <w:t xml:space="preserve"> un apstiprinātajām labas pārvaldības vadlīnijām</w:t>
            </w:r>
            <w:r w:rsidR="00BB544C">
              <w:rPr>
                <w:rStyle w:val="FootnoteReference"/>
                <w:rFonts w:ascii="Times New Roman" w:hAnsi="Times New Roman" w:cs="Times New Roman"/>
              </w:rPr>
              <w:footnoteReference w:id="2"/>
            </w:r>
            <w:r>
              <w:rPr>
                <w:rFonts w:ascii="Times New Roman" w:hAnsi="Times New Roman" w:cs="Times New Roman"/>
              </w:rPr>
              <w:t>.</w:t>
            </w:r>
          </w:p>
        </w:tc>
        <w:tc>
          <w:tcPr>
            <w:tcW w:w="2122" w:type="dxa"/>
          </w:tcPr>
          <w:p w14:paraId="7ED71291" w14:textId="50C43FB6" w:rsidR="000159BC" w:rsidRPr="000159BC" w:rsidRDefault="000159BC" w:rsidP="006F2D83">
            <w:pPr>
              <w:rPr>
                <w:rFonts w:ascii="Times New Roman" w:hAnsi="Times New Roman" w:cs="Times New Roman"/>
              </w:rPr>
            </w:pPr>
            <w:r w:rsidRPr="000159BC">
              <w:rPr>
                <w:rFonts w:ascii="Times New Roman" w:hAnsi="Times New Roman" w:cs="Times New Roman"/>
              </w:rPr>
              <w:t>Pietuvināta vidējai atlīdzībai nozarē līdzīgā uzņēmumā</w:t>
            </w:r>
            <w:r>
              <w:rPr>
                <w:rFonts w:ascii="Times New Roman" w:hAnsi="Times New Roman" w:cs="Times New Roman"/>
              </w:rPr>
              <w:t>.</w:t>
            </w:r>
          </w:p>
        </w:tc>
        <w:tc>
          <w:tcPr>
            <w:tcW w:w="2122" w:type="dxa"/>
          </w:tcPr>
          <w:p w14:paraId="1BF04D7F" w14:textId="0ADD79D9" w:rsidR="000159BC" w:rsidRPr="000159BC" w:rsidRDefault="000159BC" w:rsidP="006F2D83">
            <w:pPr>
              <w:rPr>
                <w:rFonts w:ascii="Times New Roman" w:hAnsi="Times New Roman" w:cs="Times New Roman"/>
              </w:rPr>
            </w:pPr>
            <w:r w:rsidRPr="000159BC">
              <w:rPr>
                <w:rFonts w:ascii="Times New Roman" w:hAnsi="Times New Roman" w:cs="Times New Roman"/>
              </w:rPr>
              <w:t xml:space="preserve">Atbilstoša </w:t>
            </w:r>
            <w:r w:rsidR="00BB544C">
              <w:rPr>
                <w:rFonts w:ascii="Times New Roman" w:hAnsi="Times New Roman" w:cs="Times New Roman"/>
              </w:rPr>
              <w:t>Sabiedrība</w:t>
            </w:r>
            <w:r w:rsidRPr="000159BC">
              <w:rPr>
                <w:rFonts w:ascii="Times New Roman" w:hAnsi="Times New Roman" w:cs="Times New Roman"/>
              </w:rPr>
              <w:t xml:space="preserve"> darbības rezultātiem un individuālajam sniegumam.</w:t>
            </w:r>
          </w:p>
        </w:tc>
        <w:tc>
          <w:tcPr>
            <w:tcW w:w="2122" w:type="dxa"/>
          </w:tcPr>
          <w:p w14:paraId="6CD9CEAF" w14:textId="46FBB3A2" w:rsidR="000159BC" w:rsidRPr="000159BC" w:rsidRDefault="000159BC" w:rsidP="006F2D83">
            <w:pPr>
              <w:rPr>
                <w:rFonts w:ascii="Times New Roman" w:hAnsi="Times New Roman" w:cs="Times New Roman"/>
              </w:rPr>
            </w:pPr>
            <w:r w:rsidRPr="000159BC">
              <w:rPr>
                <w:rFonts w:ascii="Times New Roman" w:hAnsi="Times New Roman" w:cs="Times New Roman"/>
              </w:rPr>
              <w:t xml:space="preserve">Publiski pieejama, tā vairojot </w:t>
            </w:r>
            <w:r w:rsidR="00BB544C">
              <w:rPr>
                <w:rFonts w:ascii="Times New Roman" w:hAnsi="Times New Roman" w:cs="Times New Roman"/>
              </w:rPr>
              <w:t>Sabiedrība</w:t>
            </w:r>
            <w:r w:rsidRPr="000159BC">
              <w:rPr>
                <w:rFonts w:ascii="Times New Roman" w:hAnsi="Times New Roman" w:cs="Times New Roman"/>
              </w:rPr>
              <w:t xml:space="preserve"> saimnieciskās darbības caurskatāmību un pārskatāmību.</w:t>
            </w:r>
          </w:p>
        </w:tc>
      </w:tr>
    </w:tbl>
    <w:p w14:paraId="0E5C7C20" w14:textId="65E75E5F" w:rsidR="00E55ADA" w:rsidRPr="003364C1" w:rsidRDefault="00E55ADA" w:rsidP="00FA4FF8">
      <w:pPr>
        <w:pStyle w:val="ListParagraph"/>
        <w:numPr>
          <w:ilvl w:val="0"/>
          <w:numId w:val="1"/>
        </w:numPr>
        <w:spacing w:line="276" w:lineRule="auto"/>
        <w:ind w:left="284" w:hanging="284"/>
        <w:jc w:val="both"/>
        <w:rPr>
          <w:rFonts w:ascii="Times New Roman" w:hAnsi="Times New Roman" w:cs="Times New Roman"/>
          <w:b/>
          <w:bCs/>
          <w:sz w:val="24"/>
          <w:szCs w:val="24"/>
        </w:rPr>
      </w:pPr>
      <w:bookmarkStart w:id="3" w:name="_Hlk216769105"/>
      <w:bookmarkEnd w:id="2"/>
      <w:r w:rsidRPr="003364C1">
        <w:rPr>
          <w:rFonts w:ascii="Times New Roman" w:hAnsi="Times New Roman" w:cs="Times New Roman"/>
          <w:b/>
          <w:bCs/>
          <w:sz w:val="24"/>
          <w:szCs w:val="24"/>
        </w:rPr>
        <w:t>Atlīdzības struktūra</w:t>
      </w:r>
    </w:p>
    <w:p w14:paraId="74AC5876" w14:textId="633B178B" w:rsidR="001A6DDA" w:rsidRDefault="001A6DDA" w:rsidP="001A6DDA">
      <w:pPr>
        <w:spacing w:line="276" w:lineRule="auto"/>
        <w:ind w:left="426"/>
        <w:jc w:val="both"/>
        <w:rPr>
          <w:rFonts w:ascii="Times New Roman" w:hAnsi="Times New Roman" w:cs="Times New Roman"/>
          <w:b/>
          <w:bCs/>
        </w:rPr>
      </w:pPr>
      <w:r>
        <w:rPr>
          <w:rFonts w:ascii="Times New Roman" w:hAnsi="Times New Roman" w:cs="Times New Roman"/>
          <w:b/>
          <w:bCs/>
          <w:noProof/>
        </w:rPr>
        <w:drawing>
          <wp:inline distT="0" distB="0" distL="0" distR="0" wp14:anchorId="6D030F67" wp14:editId="137569ED">
            <wp:extent cx="4900930" cy="594360"/>
            <wp:effectExtent l="0" t="0" r="13970" b="0"/>
            <wp:docPr id="1729332986"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47E8A25" w14:textId="77777777" w:rsidR="00416EB6" w:rsidRPr="004447E0" w:rsidRDefault="00416EB6" w:rsidP="00FA4FF8">
      <w:pPr>
        <w:pStyle w:val="ListParagraph"/>
        <w:numPr>
          <w:ilvl w:val="1"/>
          <w:numId w:val="1"/>
        </w:numPr>
        <w:spacing w:line="240" w:lineRule="auto"/>
        <w:ind w:left="993" w:hanging="426"/>
        <w:jc w:val="both"/>
        <w:rPr>
          <w:rFonts w:ascii="Times New Roman" w:hAnsi="Times New Roman" w:cs="Times New Roman"/>
        </w:rPr>
      </w:pPr>
      <w:bookmarkStart w:id="4" w:name="_Hlk216769137"/>
      <w:bookmarkEnd w:id="3"/>
      <w:r w:rsidRPr="004447E0">
        <w:rPr>
          <w:rFonts w:ascii="Times New Roman" w:hAnsi="Times New Roman" w:cs="Times New Roman"/>
        </w:rPr>
        <w:t xml:space="preserve">Sabiedrības valdes locekļu atlīdzību veido fiksētā daļa un mainīgā daļa. </w:t>
      </w:r>
    </w:p>
    <w:p w14:paraId="2235EFD4" w14:textId="77777777" w:rsidR="00416EB6" w:rsidRPr="004447E0" w:rsidRDefault="00416EB6" w:rsidP="00FA4FF8">
      <w:pPr>
        <w:pStyle w:val="Default"/>
        <w:numPr>
          <w:ilvl w:val="1"/>
          <w:numId w:val="1"/>
        </w:numPr>
        <w:ind w:left="993" w:hanging="426"/>
        <w:jc w:val="both"/>
        <w:rPr>
          <w:sz w:val="22"/>
          <w:szCs w:val="22"/>
        </w:rPr>
      </w:pPr>
      <w:r w:rsidRPr="004447E0">
        <w:rPr>
          <w:sz w:val="22"/>
          <w:szCs w:val="22"/>
        </w:rPr>
        <w:t xml:space="preserve">Atlīdzības fiksētā daļa ir mēneša atlīdzība par amata pienākumu pildīšanu jeb mēnešalga pirms nodokļu nomaksas. Mēneša atlīdzībā neietilpst prēmijas, apdrošināšana, atsaukšanas pabalsts un tehniskais nodrošinājums amata pienākumu izpildei. </w:t>
      </w:r>
    </w:p>
    <w:p w14:paraId="4DE0C9A9" w14:textId="3E67BB8D" w:rsidR="00416EB6" w:rsidRPr="004447E0" w:rsidRDefault="00416EB6" w:rsidP="00FA4FF8">
      <w:pPr>
        <w:pStyle w:val="Default"/>
        <w:numPr>
          <w:ilvl w:val="1"/>
          <w:numId w:val="1"/>
        </w:numPr>
        <w:ind w:left="993" w:hanging="426"/>
        <w:jc w:val="both"/>
        <w:rPr>
          <w:sz w:val="22"/>
          <w:szCs w:val="22"/>
        </w:rPr>
      </w:pPr>
      <w:r w:rsidRPr="004447E0">
        <w:rPr>
          <w:sz w:val="22"/>
          <w:szCs w:val="22"/>
        </w:rPr>
        <w:t xml:space="preserve">Atlīdzības mainīgā daļa ir ikgadējā prēmija, kuru izmaksā reizi gadā pēc iepriekšējā pārskata gada darbības rezultātu novērtēšanas. </w:t>
      </w:r>
    </w:p>
    <w:bookmarkEnd w:id="4"/>
    <w:p w14:paraId="1D1B831D" w14:textId="77777777" w:rsidR="00AF0E5B" w:rsidRPr="00AF0E5B" w:rsidRDefault="00AF0E5B" w:rsidP="00AF0E5B">
      <w:pPr>
        <w:pStyle w:val="Default"/>
        <w:ind w:left="1276"/>
      </w:pPr>
    </w:p>
    <w:p w14:paraId="723ACCB6" w14:textId="07AB6617" w:rsidR="00E55ADA" w:rsidRPr="004447E0" w:rsidRDefault="00E55ADA" w:rsidP="00FA4FF8">
      <w:pPr>
        <w:pStyle w:val="ListParagraph"/>
        <w:numPr>
          <w:ilvl w:val="0"/>
          <w:numId w:val="1"/>
        </w:numPr>
        <w:spacing w:line="276" w:lineRule="auto"/>
        <w:ind w:left="284" w:hanging="284"/>
        <w:jc w:val="both"/>
        <w:rPr>
          <w:rFonts w:ascii="Times New Roman" w:hAnsi="Times New Roman" w:cs="Times New Roman"/>
          <w:b/>
          <w:bCs/>
          <w:sz w:val="24"/>
          <w:szCs w:val="24"/>
        </w:rPr>
      </w:pPr>
      <w:bookmarkStart w:id="5" w:name="_Hlk216769276"/>
      <w:r w:rsidRPr="004447E0">
        <w:rPr>
          <w:rFonts w:ascii="Times New Roman" w:hAnsi="Times New Roman" w:cs="Times New Roman"/>
          <w:b/>
          <w:bCs/>
          <w:sz w:val="24"/>
          <w:szCs w:val="24"/>
        </w:rPr>
        <w:t>Atlīdzības fiksētās daļas noteikšana un pārskatīšana</w:t>
      </w:r>
    </w:p>
    <w:p w14:paraId="6E1CAD2D" w14:textId="051AF7E5" w:rsidR="00416EB6" w:rsidRPr="004447E0" w:rsidRDefault="00416EB6" w:rsidP="00FA4FF8">
      <w:pPr>
        <w:pStyle w:val="ListParagraph"/>
        <w:numPr>
          <w:ilvl w:val="1"/>
          <w:numId w:val="1"/>
        </w:numPr>
        <w:spacing w:line="240" w:lineRule="auto"/>
        <w:ind w:left="993" w:hanging="426"/>
        <w:jc w:val="both"/>
        <w:rPr>
          <w:rFonts w:ascii="Times New Roman" w:hAnsi="Times New Roman" w:cs="Times New Roman"/>
        </w:rPr>
      </w:pPr>
      <w:r w:rsidRPr="004447E0">
        <w:rPr>
          <w:rFonts w:ascii="Times New Roman" w:hAnsi="Times New Roman" w:cs="Times New Roman"/>
        </w:rPr>
        <w:t>Valdes locekļu atlīdzības fiksētās daļas noteikšanai ņem vērā:</w:t>
      </w:r>
    </w:p>
    <w:p w14:paraId="20FB7CE3" w14:textId="2011EA84" w:rsidR="00651A7E" w:rsidRPr="00651A7E" w:rsidRDefault="00416EB6" w:rsidP="00651A7E">
      <w:pPr>
        <w:pStyle w:val="Default"/>
        <w:numPr>
          <w:ilvl w:val="2"/>
          <w:numId w:val="1"/>
        </w:numPr>
        <w:spacing w:after="27"/>
        <w:ind w:left="1560" w:hanging="567"/>
        <w:jc w:val="both"/>
        <w:rPr>
          <w:sz w:val="22"/>
          <w:szCs w:val="22"/>
        </w:rPr>
      </w:pPr>
      <w:r w:rsidRPr="004447E0">
        <w:rPr>
          <w:sz w:val="22"/>
          <w:szCs w:val="22"/>
        </w:rPr>
        <w:t xml:space="preserve">kapitālsabiedrības lielumu un iedalījumu pēc finansēšanas avotiem, kas noteikts atbilstoši Publiskas personas kapitāla daļu un kapitālsabiedrību pārvaldības likumā noteiktajiem kritērijiem; </w:t>
      </w:r>
    </w:p>
    <w:p w14:paraId="2D7EDA2F" w14:textId="77777777" w:rsidR="00651A7E" w:rsidRDefault="00651A7E" w:rsidP="00FA4FF8">
      <w:pPr>
        <w:pStyle w:val="Default"/>
        <w:numPr>
          <w:ilvl w:val="2"/>
          <w:numId w:val="1"/>
        </w:numPr>
        <w:spacing w:after="27"/>
        <w:ind w:left="1560" w:hanging="567"/>
        <w:jc w:val="both"/>
        <w:rPr>
          <w:sz w:val="22"/>
          <w:szCs w:val="22"/>
        </w:rPr>
        <w:sectPr w:rsidR="00651A7E" w:rsidSect="00920A69">
          <w:headerReference w:type="first" r:id="rId13"/>
          <w:pgSz w:w="11906" w:h="16838"/>
          <w:pgMar w:top="1440" w:right="1800" w:bottom="1440" w:left="1800" w:header="708" w:footer="708" w:gutter="0"/>
          <w:cols w:space="708"/>
          <w:titlePg/>
          <w:docGrid w:linePitch="360"/>
        </w:sectPr>
      </w:pPr>
    </w:p>
    <w:p w14:paraId="1F480237" w14:textId="77777777" w:rsidR="00416EB6" w:rsidRPr="004447E0" w:rsidRDefault="00416EB6" w:rsidP="00FA4FF8">
      <w:pPr>
        <w:pStyle w:val="Default"/>
        <w:numPr>
          <w:ilvl w:val="2"/>
          <w:numId w:val="1"/>
        </w:numPr>
        <w:spacing w:after="27"/>
        <w:ind w:left="1560" w:hanging="567"/>
        <w:jc w:val="both"/>
        <w:rPr>
          <w:sz w:val="22"/>
          <w:szCs w:val="22"/>
        </w:rPr>
      </w:pPr>
      <w:r w:rsidRPr="004447E0">
        <w:rPr>
          <w:sz w:val="22"/>
          <w:szCs w:val="22"/>
        </w:rPr>
        <w:lastRenderedPageBreak/>
        <w:t xml:space="preserve">Centrālās statistikas pārvaldes oficiālajā statistikas paziņojumā publicēto valstī strādājošo iepriekšējā gada mēneša vidējās darba samaksas apmēru; </w:t>
      </w:r>
    </w:p>
    <w:p w14:paraId="2889B1AD" w14:textId="00A5CC3B" w:rsidR="00416EB6" w:rsidRPr="004447E0" w:rsidRDefault="00416EB6" w:rsidP="00FA4FF8">
      <w:pPr>
        <w:pStyle w:val="Default"/>
        <w:numPr>
          <w:ilvl w:val="2"/>
          <w:numId w:val="1"/>
        </w:numPr>
        <w:spacing w:after="27"/>
        <w:ind w:left="1560" w:hanging="567"/>
        <w:jc w:val="both"/>
        <w:rPr>
          <w:sz w:val="22"/>
          <w:szCs w:val="22"/>
        </w:rPr>
      </w:pPr>
      <w:r w:rsidRPr="004447E0">
        <w:rPr>
          <w:sz w:val="22"/>
          <w:szCs w:val="22"/>
        </w:rPr>
        <w:t xml:space="preserve">koeficientu saskaņā ar Ministru kabineta </w:t>
      </w:r>
      <w:bookmarkStart w:id="6" w:name="_Hlk208234476"/>
      <w:r w:rsidRPr="004447E0">
        <w:rPr>
          <w:sz w:val="22"/>
          <w:szCs w:val="22"/>
        </w:rPr>
        <w:t>25.06.202</w:t>
      </w:r>
      <w:r w:rsidR="006F2D83">
        <w:rPr>
          <w:sz w:val="22"/>
          <w:szCs w:val="22"/>
        </w:rPr>
        <w:t>5</w:t>
      </w:r>
      <w:r w:rsidRPr="004447E0">
        <w:rPr>
          <w:sz w:val="22"/>
          <w:szCs w:val="22"/>
        </w:rPr>
        <w:t>. noteikumiem Nr. 392 “Valdes un padomes locekļu skaita un atalgojuma noteikšanas kārtība publiskas personas kapitāla daļu pārvaldīšanas gadījumā</w:t>
      </w:r>
      <w:bookmarkEnd w:id="6"/>
      <w:r w:rsidR="00700FA3">
        <w:rPr>
          <w:sz w:val="22"/>
          <w:szCs w:val="22"/>
        </w:rPr>
        <w:t>”</w:t>
      </w:r>
      <w:r w:rsidRPr="004447E0">
        <w:rPr>
          <w:sz w:val="22"/>
          <w:szCs w:val="22"/>
        </w:rPr>
        <w:t>;</w:t>
      </w:r>
    </w:p>
    <w:p w14:paraId="45720E71" w14:textId="07DF7345" w:rsidR="00416EB6" w:rsidRPr="004447E0" w:rsidRDefault="0096712B" w:rsidP="00FA4FF8">
      <w:pPr>
        <w:pStyle w:val="Default"/>
        <w:numPr>
          <w:ilvl w:val="2"/>
          <w:numId w:val="1"/>
        </w:numPr>
        <w:spacing w:after="27"/>
        <w:ind w:left="1560" w:hanging="567"/>
        <w:jc w:val="both"/>
        <w:rPr>
          <w:sz w:val="22"/>
          <w:szCs w:val="22"/>
        </w:rPr>
      </w:pPr>
      <w:r w:rsidRPr="004447E0">
        <w:rPr>
          <w:sz w:val="22"/>
          <w:szCs w:val="22"/>
        </w:rPr>
        <w:t>Sabiedrības</w:t>
      </w:r>
      <w:r w:rsidR="00416EB6" w:rsidRPr="004447E0">
        <w:rPr>
          <w:sz w:val="22"/>
          <w:szCs w:val="22"/>
        </w:rPr>
        <w:t xml:space="preserve"> vidēja termiņa darbības stratēģijā izvirzītos finanšu un nefinanšu mērķus; </w:t>
      </w:r>
    </w:p>
    <w:p w14:paraId="43A0E1AA" w14:textId="310412FE" w:rsidR="00416EB6" w:rsidRPr="004447E0" w:rsidRDefault="0096712B" w:rsidP="00FA4FF8">
      <w:pPr>
        <w:pStyle w:val="Default"/>
        <w:numPr>
          <w:ilvl w:val="2"/>
          <w:numId w:val="1"/>
        </w:numPr>
        <w:spacing w:after="27"/>
        <w:ind w:left="1560" w:hanging="567"/>
        <w:jc w:val="both"/>
        <w:rPr>
          <w:sz w:val="22"/>
          <w:szCs w:val="22"/>
        </w:rPr>
      </w:pPr>
      <w:r w:rsidRPr="004447E0">
        <w:rPr>
          <w:sz w:val="22"/>
          <w:szCs w:val="22"/>
        </w:rPr>
        <w:t>Sabiedrības</w:t>
      </w:r>
      <w:r w:rsidR="00416EB6" w:rsidRPr="004447E0">
        <w:rPr>
          <w:sz w:val="22"/>
          <w:szCs w:val="22"/>
        </w:rPr>
        <w:t xml:space="preserve"> rīcībā esošos atlīdzības izmaksai pieejamos finanšu līdzekļus; </w:t>
      </w:r>
    </w:p>
    <w:p w14:paraId="0DFDFDB8" w14:textId="59B990BC" w:rsidR="00416EB6" w:rsidRPr="004447E0" w:rsidRDefault="00416EB6" w:rsidP="00FA4FF8">
      <w:pPr>
        <w:pStyle w:val="Default"/>
        <w:numPr>
          <w:ilvl w:val="2"/>
          <w:numId w:val="1"/>
        </w:numPr>
        <w:spacing w:after="27"/>
        <w:ind w:left="1560" w:hanging="567"/>
        <w:jc w:val="both"/>
        <w:rPr>
          <w:sz w:val="22"/>
          <w:szCs w:val="22"/>
        </w:rPr>
      </w:pPr>
      <w:r w:rsidRPr="004447E0">
        <w:rPr>
          <w:sz w:val="22"/>
          <w:szCs w:val="22"/>
        </w:rPr>
        <w:t xml:space="preserve">būtisku risku un grūtību novēršanu, uzlabojot </w:t>
      </w:r>
      <w:r w:rsidR="0096712B" w:rsidRPr="004447E0">
        <w:rPr>
          <w:sz w:val="22"/>
          <w:szCs w:val="22"/>
        </w:rPr>
        <w:t>Sabiedrības</w:t>
      </w:r>
      <w:r w:rsidRPr="004447E0">
        <w:rPr>
          <w:sz w:val="22"/>
          <w:szCs w:val="22"/>
        </w:rPr>
        <w:t xml:space="preserve"> darbību un finanšu un nefinanšu mērķu izpildi.</w:t>
      </w:r>
    </w:p>
    <w:p w14:paraId="6E8E3013" w14:textId="610B0CF4" w:rsidR="0096712B" w:rsidRPr="004447E0" w:rsidRDefault="0096712B" w:rsidP="00FA4FF8">
      <w:pPr>
        <w:pStyle w:val="Default"/>
        <w:numPr>
          <w:ilvl w:val="1"/>
          <w:numId w:val="1"/>
        </w:numPr>
        <w:spacing w:after="27"/>
        <w:ind w:left="993" w:hanging="426"/>
        <w:jc w:val="both"/>
        <w:rPr>
          <w:sz w:val="22"/>
          <w:szCs w:val="22"/>
        </w:rPr>
      </w:pPr>
      <w:r w:rsidRPr="004447E0">
        <w:rPr>
          <w:sz w:val="22"/>
          <w:szCs w:val="22"/>
        </w:rPr>
        <w:t xml:space="preserve"> Atlīdzību pārskata pēc tam, kad ir apstiprināts gada pārskats, saņemts kapitāla daļu turētāja vērtējums par Sabiedrības darbību pārskata gadā un valdes locekļa individuālā snieguma vērtējums.</w:t>
      </w:r>
    </w:p>
    <w:p w14:paraId="23A999F6" w14:textId="59B6DA32" w:rsidR="0096712B" w:rsidRPr="004447E0" w:rsidRDefault="0096712B" w:rsidP="00FA4FF8">
      <w:pPr>
        <w:pStyle w:val="Default"/>
        <w:numPr>
          <w:ilvl w:val="1"/>
          <w:numId w:val="1"/>
        </w:numPr>
        <w:spacing w:after="27"/>
        <w:ind w:left="993" w:hanging="426"/>
        <w:jc w:val="both"/>
        <w:rPr>
          <w:sz w:val="22"/>
          <w:szCs w:val="22"/>
        </w:rPr>
      </w:pPr>
      <w:r w:rsidRPr="004447E0">
        <w:rPr>
          <w:sz w:val="22"/>
          <w:szCs w:val="22"/>
        </w:rPr>
        <w:t xml:space="preserve">Ievērojot 4.2. punktā noteikto, dalībnieku sapulce </w:t>
      </w:r>
      <w:r w:rsidR="00700FA3">
        <w:rPr>
          <w:sz w:val="22"/>
          <w:szCs w:val="22"/>
        </w:rPr>
        <w:t xml:space="preserve">par </w:t>
      </w:r>
      <w:r w:rsidRPr="004447E0">
        <w:rPr>
          <w:sz w:val="22"/>
          <w:szCs w:val="22"/>
        </w:rPr>
        <w:t xml:space="preserve">valdes locekļu atlīdzību pieņem vienu no šādiem lēmumiem: </w:t>
      </w:r>
    </w:p>
    <w:p w14:paraId="27CB9691" w14:textId="29790B0C" w:rsidR="0096712B" w:rsidRPr="004447E0" w:rsidRDefault="0096712B" w:rsidP="00FA4FF8">
      <w:pPr>
        <w:pStyle w:val="Default"/>
        <w:numPr>
          <w:ilvl w:val="2"/>
          <w:numId w:val="1"/>
        </w:numPr>
        <w:spacing w:after="27"/>
        <w:ind w:left="1560" w:hanging="567"/>
        <w:jc w:val="both"/>
        <w:rPr>
          <w:sz w:val="22"/>
          <w:szCs w:val="22"/>
        </w:rPr>
      </w:pPr>
      <w:r w:rsidRPr="004447E0">
        <w:rPr>
          <w:sz w:val="22"/>
          <w:szCs w:val="22"/>
        </w:rPr>
        <w:t xml:space="preserve">saglabāt atlīdzību līdzšinējā apmērā; </w:t>
      </w:r>
    </w:p>
    <w:p w14:paraId="2A9046D4" w14:textId="77416487" w:rsidR="00416EB6" w:rsidRPr="004447E0" w:rsidRDefault="0096712B" w:rsidP="00FA4FF8">
      <w:pPr>
        <w:pStyle w:val="Default"/>
        <w:numPr>
          <w:ilvl w:val="2"/>
          <w:numId w:val="1"/>
        </w:numPr>
        <w:spacing w:after="27"/>
        <w:ind w:left="1560" w:hanging="567"/>
        <w:jc w:val="both"/>
        <w:rPr>
          <w:sz w:val="22"/>
          <w:szCs w:val="22"/>
        </w:rPr>
      </w:pPr>
      <w:r w:rsidRPr="004447E0">
        <w:rPr>
          <w:sz w:val="22"/>
          <w:szCs w:val="22"/>
        </w:rPr>
        <w:t xml:space="preserve">mainīt atlīdzību, ja tā neatbilst 5.1. punktā minētajiem kritērijiem. </w:t>
      </w:r>
    </w:p>
    <w:p w14:paraId="6B218987" w14:textId="77777777" w:rsidR="0096712B" w:rsidRPr="0096712B" w:rsidRDefault="0096712B" w:rsidP="0096712B">
      <w:pPr>
        <w:pStyle w:val="Default"/>
        <w:spacing w:after="27"/>
        <w:ind w:left="1843"/>
        <w:rPr>
          <w:sz w:val="23"/>
          <w:szCs w:val="23"/>
        </w:rPr>
      </w:pPr>
      <w:bookmarkStart w:id="7" w:name="_Hlk216769291"/>
      <w:bookmarkEnd w:id="5"/>
    </w:p>
    <w:p w14:paraId="7DCB56AC" w14:textId="100FE0BD" w:rsidR="00E55ADA" w:rsidRPr="004447E0" w:rsidRDefault="00E55ADA" w:rsidP="00FA4FF8">
      <w:pPr>
        <w:pStyle w:val="ListParagraph"/>
        <w:numPr>
          <w:ilvl w:val="0"/>
          <w:numId w:val="1"/>
        </w:numPr>
        <w:spacing w:line="276" w:lineRule="auto"/>
        <w:ind w:left="284" w:hanging="284"/>
        <w:jc w:val="both"/>
        <w:rPr>
          <w:rFonts w:ascii="Times New Roman" w:hAnsi="Times New Roman" w:cs="Times New Roman"/>
          <w:b/>
          <w:bCs/>
          <w:sz w:val="24"/>
          <w:szCs w:val="24"/>
        </w:rPr>
      </w:pPr>
      <w:r w:rsidRPr="004447E0">
        <w:rPr>
          <w:rFonts w:ascii="Times New Roman" w:hAnsi="Times New Roman" w:cs="Times New Roman"/>
          <w:b/>
          <w:bCs/>
          <w:sz w:val="24"/>
          <w:szCs w:val="24"/>
        </w:rPr>
        <w:t>Atlīdzības mainīgās daļas noteikšana</w:t>
      </w:r>
    </w:p>
    <w:p w14:paraId="1A0639BC" w14:textId="5807A5C3" w:rsidR="0096712B" w:rsidRPr="004447E0" w:rsidRDefault="0096712B" w:rsidP="00FA4FF8">
      <w:pPr>
        <w:pStyle w:val="Default"/>
        <w:numPr>
          <w:ilvl w:val="1"/>
          <w:numId w:val="1"/>
        </w:numPr>
        <w:ind w:left="993" w:hanging="426"/>
        <w:jc w:val="both"/>
        <w:rPr>
          <w:color w:val="auto"/>
          <w:sz w:val="22"/>
          <w:szCs w:val="22"/>
        </w:rPr>
      </w:pPr>
      <w:r w:rsidRPr="004447E0">
        <w:rPr>
          <w:sz w:val="22"/>
          <w:szCs w:val="22"/>
        </w:rPr>
        <w:t xml:space="preserve">Lēmumu par prēmiju valdes loceklim pieņem reizi gadā pēc gada pārskata </w:t>
      </w:r>
      <w:r w:rsidR="00700FA3">
        <w:rPr>
          <w:sz w:val="22"/>
          <w:szCs w:val="22"/>
        </w:rPr>
        <w:t xml:space="preserve">apstiprināšanas </w:t>
      </w:r>
      <w:r w:rsidRPr="004447E0">
        <w:rPr>
          <w:sz w:val="22"/>
          <w:szCs w:val="22"/>
        </w:rPr>
        <w:t>un Sabiedrības un tās valdes darbības izvērtēšanas.</w:t>
      </w:r>
    </w:p>
    <w:p w14:paraId="7BE1A421" w14:textId="77777777" w:rsidR="0096712B" w:rsidRPr="004447E0" w:rsidRDefault="0096712B" w:rsidP="00FA4FF8">
      <w:pPr>
        <w:pStyle w:val="Default"/>
        <w:numPr>
          <w:ilvl w:val="1"/>
          <w:numId w:val="1"/>
        </w:numPr>
        <w:ind w:left="993" w:hanging="426"/>
        <w:jc w:val="both"/>
        <w:rPr>
          <w:color w:val="auto"/>
          <w:sz w:val="22"/>
          <w:szCs w:val="22"/>
        </w:rPr>
      </w:pPr>
      <w:bookmarkStart w:id="8" w:name="_Hlk208233002"/>
      <w:r w:rsidRPr="004447E0">
        <w:rPr>
          <w:sz w:val="22"/>
          <w:szCs w:val="22"/>
        </w:rPr>
        <w:t>Nosakot valdes locekļu prēmiju, izvērtē šādus kritērijus:</w:t>
      </w:r>
    </w:p>
    <w:bookmarkEnd w:id="8"/>
    <w:p w14:paraId="1A628718" w14:textId="1339C838" w:rsidR="0096712B" w:rsidRPr="004447E0" w:rsidRDefault="0096712B" w:rsidP="00FA4FF8">
      <w:pPr>
        <w:pStyle w:val="Default"/>
        <w:numPr>
          <w:ilvl w:val="2"/>
          <w:numId w:val="1"/>
        </w:numPr>
        <w:ind w:left="1560" w:hanging="567"/>
        <w:jc w:val="both"/>
        <w:rPr>
          <w:sz w:val="22"/>
          <w:szCs w:val="22"/>
        </w:rPr>
      </w:pPr>
      <w:r w:rsidRPr="004447E0">
        <w:rPr>
          <w:sz w:val="22"/>
          <w:szCs w:val="22"/>
        </w:rPr>
        <w:t>Sabiedrības darbības rezultāti iepriekšējā pārskata gadā (budžeta izpilde);</w:t>
      </w:r>
    </w:p>
    <w:p w14:paraId="50E555FF" w14:textId="386F100B" w:rsidR="0096712B" w:rsidRPr="004447E0" w:rsidRDefault="0096712B" w:rsidP="00FA4FF8">
      <w:pPr>
        <w:pStyle w:val="Default"/>
        <w:numPr>
          <w:ilvl w:val="2"/>
          <w:numId w:val="1"/>
        </w:numPr>
        <w:ind w:left="1560" w:hanging="567"/>
        <w:jc w:val="both"/>
        <w:rPr>
          <w:color w:val="auto"/>
          <w:sz w:val="22"/>
          <w:szCs w:val="22"/>
        </w:rPr>
      </w:pPr>
      <w:r w:rsidRPr="004447E0">
        <w:rPr>
          <w:sz w:val="22"/>
          <w:szCs w:val="22"/>
        </w:rPr>
        <w:t>Sabiedrības vidēja termiņa darbība</w:t>
      </w:r>
      <w:r w:rsidR="00700FA3">
        <w:rPr>
          <w:sz w:val="22"/>
          <w:szCs w:val="22"/>
        </w:rPr>
        <w:t>s</w:t>
      </w:r>
      <w:r w:rsidRPr="004447E0">
        <w:rPr>
          <w:sz w:val="22"/>
          <w:szCs w:val="22"/>
        </w:rPr>
        <w:t xml:space="preserve"> stratēģijas izpildi un </w:t>
      </w:r>
      <w:r w:rsidR="00DB70A9" w:rsidRPr="004447E0">
        <w:rPr>
          <w:sz w:val="22"/>
          <w:szCs w:val="22"/>
        </w:rPr>
        <w:t>Sabiedrības</w:t>
      </w:r>
      <w:r w:rsidRPr="004447E0">
        <w:rPr>
          <w:sz w:val="22"/>
          <w:szCs w:val="22"/>
        </w:rPr>
        <w:t xml:space="preserve"> darbības rezultātus saskaņā ar definētajiem finanšu un nefinanšu mērķiem;</w:t>
      </w:r>
    </w:p>
    <w:p w14:paraId="0920ECE9" w14:textId="60C4705B" w:rsidR="0096712B" w:rsidRPr="004447E0" w:rsidRDefault="0096712B" w:rsidP="00FA4FF8">
      <w:pPr>
        <w:pStyle w:val="Default"/>
        <w:numPr>
          <w:ilvl w:val="2"/>
          <w:numId w:val="1"/>
        </w:numPr>
        <w:ind w:left="1560" w:hanging="567"/>
        <w:jc w:val="both"/>
        <w:rPr>
          <w:color w:val="auto"/>
          <w:sz w:val="22"/>
          <w:szCs w:val="22"/>
        </w:rPr>
      </w:pPr>
      <w:r w:rsidRPr="004447E0">
        <w:rPr>
          <w:sz w:val="22"/>
          <w:szCs w:val="22"/>
        </w:rPr>
        <w:t>valdes locekļ</w:t>
      </w:r>
      <w:r w:rsidR="006F2D83">
        <w:rPr>
          <w:sz w:val="22"/>
          <w:szCs w:val="22"/>
        </w:rPr>
        <w:t>u</w:t>
      </w:r>
      <w:r w:rsidRPr="004447E0">
        <w:rPr>
          <w:sz w:val="22"/>
          <w:szCs w:val="22"/>
        </w:rPr>
        <w:t xml:space="preserve"> darbības rezultātus iepriekšējā gadā. </w:t>
      </w:r>
    </w:p>
    <w:p w14:paraId="4F2D4EE1" w14:textId="0630DD8D" w:rsidR="0096712B" w:rsidRPr="004447E0" w:rsidRDefault="0096712B" w:rsidP="00FA4FF8">
      <w:pPr>
        <w:pStyle w:val="Default"/>
        <w:numPr>
          <w:ilvl w:val="1"/>
          <w:numId w:val="1"/>
        </w:numPr>
        <w:ind w:left="993" w:hanging="426"/>
        <w:jc w:val="both"/>
        <w:rPr>
          <w:color w:val="auto"/>
          <w:sz w:val="22"/>
          <w:szCs w:val="22"/>
        </w:rPr>
      </w:pPr>
      <w:r w:rsidRPr="004447E0">
        <w:rPr>
          <w:color w:val="auto"/>
          <w:sz w:val="22"/>
          <w:szCs w:val="22"/>
        </w:rPr>
        <w:t xml:space="preserve">Aprēķinot atlīdzības mainīgo daļu, katram no </w:t>
      </w:r>
      <w:r w:rsidR="00DB70A9" w:rsidRPr="004447E0">
        <w:rPr>
          <w:color w:val="auto"/>
          <w:sz w:val="22"/>
          <w:szCs w:val="22"/>
        </w:rPr>
        <w:t>6</w:t>
      </w:r>
      <w:r w:rsidRPr="004447E0">
        <w:rPr>
          <w:color w:val="auto"/>
          <w:sz w:val="22"/>
          <w:szCs w:val="22"/>
        </w:rPr>
        <w:t>.2. punktā minētajiem kritērijiem nosaka šādu procentuālo īpatsvaru:</w:t>
      </w:r>
    </w:p>
    <w:bookmarkEnd w:id="7"/>
    <w:p w14:paraId="7F194DE0" w14:textId="2276D8DD" w:rsidR="00AF0E5B" w:rsidRPr="000C0DB7" w:rsidRDefault="00AF0E5B" w:rsidP="00AF0E5B">
      <w:pPr>
        <w:pStyle w:val="Default"/>
        <w:jc w:val="center"/>
        <w:rPr>
          <w:color w:val="auto"/>
        </w:rPr>
      </w:pPr>
      <w:r>
        <w:rPr>
          <w:noProof/>
        </w:rPr>
        <w:drawing>
          <wp:inline distT="0" distB="0" distL="0" distR="0" wp14:anchorId="446A49B0" wp14:editId="664220D9">
            <wp:extent cx="5305425" cy="2076450"/>
            <wp:effectExtent l="0" t="0" r="0" b="0"/>
            <wp:docPr id="612070039" name="Diagramma 1">
              <a:extLst xmlns:a="http://schemas.openxmlformats.org/drawingml/2006/main">
                <a:ext uri="{FF2B5EF4-FFF2-40B4-BE49-F238E27FC236}">
                  <a16:creationId xmlns:a16="http://schemas.microsoft.com/office/drawing/2014/main" id="{0D1D8C22-596C-F91C-ED69-BE84447B51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DBCCFC" w14:textId="60C8677B" w:rsidR="00AF0E5B" w:rsidRPr="004447E0" w:rsidRDefault="00AF0E5B" w:rsidP="00FA4FF8">
      <w:pPr>
        <w:pStyle w:val="ListParagraph"/>
        <w:numPr>
          <w:ilvl w:val="1"/>
          <w:numId w:val="1"/>
        </w:numPr>
        <w:autoSpaceDE w:val="0"/>
        <w:autoSpaceDN w:val="0"/>
        <w:adjustRightInd w:val="0"/>
        <w:spacing w:after="0" w:line="240" w:lineRule="auto"/>
        <w:ind w:left="993" w:hanging="426"/>
        <w:jc w:val="both"/>
        <w:rPr>
          <w:rFonts w:ascii="TimesNewRomanPSMT" w:hAnsi="TimesNewRomanPSMT" w:cs="TimesNewRomanPSMT"/>
          <w:kern w:val="0"/>
        </w:rPr>
      </w:pPr>
      <w:bookmarkStart w:id="9" w:name="_Hlk216769517"/>
      <w:r w:rsidRPr="004447E0">
        <w:rPr>
          <w:rFonts w:ascii="TimesNewRomanPSMT" w:hAnsi="TimesNewRomanPSMT" w:cs="TimesNewRomanPSMT"/>
          <w:kern w:val="0"/>
        </w:rPr>
        <w:t xml:space="preserve">Prēmijas apmērs veidojas, novērtējot katru kritēriju. Kritēriju novērtēšanas </w:t>
      </w:r>
      <w:r w:rsidR="00FA4FF8" w:rsidRPr="004447E0">
        <w:rPr>
          <w:rFonts w:ascii="TimesNewRomanPSMT" w:hAnsi="TimesNewRomanPSMT" w:cs="TimesNewRomanPSMT"/>
          <w:kern w:val="0"/>
        </w:rPr>
        <w:t xml:space="preserve">  </w:t>
      </w:r>
      <w:r w:rsidRPr="004447E0">
        <w:rPr>
          <w:rFonts w:ascii="TimesNewRomanPSMT" w:hAnsi="TimesNewRomanPSMT" w:cs="TimesNewRomanPSMT"/>
          <w:kern w:val="0"/>
        </w:rPr>
        <w:t>metodiku skatīt šīs politikas pielikumā “Kritēriju novērtēšana valdes locekļa prēmijas aprēķināšanai”.</w:t>
      </w:r>
    </w:p>
    <w:p w14:paraId="5F37364B" w14:textId="77777777" w:rsidR="00AF0E5B" w:rsidRPr="004447E0" w:rsidRDefault="00AF0E5B" w:rsidP="00FA4FF8">
      <w:pPr>
        <w:pStyle w:val="ListParagraph"/>
        <w:numPr>
          <w:ilvl w:val="1"/>
          <w:numId w:val="1"/>
        </w:numPr>
        <w:autoSpaceDE w:val="0"/>
        <w:autoSpaceDN w:val="0"/>
        <w:adjustRightInd w:val="0"/>
        <w:spacing w:after="0" w:line="240" w:lineRule="auto"/>
        <w:ind w:left="993" w:hanging="426"/>
        <w:jc w:val="both"/>
        <w:rPr>
          <w:rFonts w:ascii="Times New Roman" w:hAnsi="Times New Roman" w:cs="Times New Roman"/>
          <w:kern w:val="0"/>
        </w:rPr>
      </w:pPr>
      <w:r w:rsidRPr="004447E0">
        <w:rPr>
          <w:rFonts w:ascii="Times New Roman" w:hAnsi="Times New Roman" w:cs="Times New Roman"/>
        </w:rPr>
        <w:t xml:space="preserve"> Prēmijas maksimālais apmērs nepārsniedz 25.06.2025. Ministru kabineta noteikumu Nr. 392 “Valdes un padomes locekļu skaita un atalgojuma noteikšanas kārtība publiskas personas kapitāla daļu pārvaldīšanas gadījumā” 2. pielikumā minēto apmēru, ņemot vērā kapitālsabiedrības lielumu un iedalījumu pēc finansēšanas avotiem.</w:t>
      </w:r>
    </w:p>
    <w:p w14:paraId="0BA00C4A" w14:textId="73B96A9C" w:rsidR="00AF0E5B" w:rsidRDefault="00AF0E5B" w:rsidP="00FA4FF8">
      <w:pPr>
        <w:pStyle w:val="ListParagraph"/>
        <w:numPr>
          <w:ilvl w:val="1"/>
          <w:numId w:val="1"/>
        </w:numPr>
        <w:autoSpaceDE w:val="0"/>
        <w:autoSpaceDN w:val="0"/>
        <w:adjustRightInd w:val="0"/>
        <w:spacing w:after="0" w:line="240" w:lineRule="auto"/>
        <w:ind w:left="993" w:hanging="426"/>
        <w:jc w:val="both"/>
        <w:rPr>
          <w:rFonts w:ascii="Times New Roman" w:hAnsi="Times New Roman" w:cs="Times New Roman"/>
          <w:kern w:val="0"/>
        </w:rPr>
      </w:pPr>
      <w:r w:rsidRPr="004447E0">
        <w:rPr>
          <w:rFonts w:ascii="Times New Roman" w:hAnsi="Times New Roman" w:cs="Times New Roman"/>
          <w:kern w:val="0"/>
        </w:rPr>
        <w:t xml:space="preserve">Prēmijas apmēru aprēķina proporcionāli nostrādātajam laikam (kalendārajiem mēnešiem) pārskata gadā, izvērtējot katru </w:t>
      </w:r>
      <w:r w:rsidR="00FA4FF8" w:rsidRPr="004447E0">
        <w:rPr>
          <w:rFonts w:ascii="Times New Roman" w:hAnsi="Times New Roman" w:cs="Times New Roman"/>
          <w:kern w:val="0"/>
        </w:rPr>
        <w:t>6</w:t>
      </w:r>
      <w:r w:rsidRPr="004447E0">
        <w:rPr>
          <w:rFonts w:ascii="Times New Roman" w:hAnsi="Times New Roman" w:cs="Times New Roman"/>
          <w:kern w:val="0"/>
        </w:rPr>
        <w:t>.2. punktā minēto kritēriju.</w:t>
      </w:r>
    </w:p>
    <w:p w14:paraId="378F2FC0" w14:textId="77777777" w:rsidR="00E2429B" w:rsidRPr="00AB496D" w:rsidRDefault="00E2429B" w:rsidP="00E2429B">
      <w:pPr>
        <w:pStyle w:val="ListParagraph"/>
        <w:numPr>
          <w:ilvl w:val="1"/>
          <w:numId w:val="1"/>
        </w:numPr>
        <w:autoSpaceDE w:val="0"/>
        <w:autoSpaceDN w:val="0"/>
        <w:adjustRightInd w:val="0"/>
        <w:spacing w:after="0" w:line="240" w:lineRule="auto"/>
        <w:ind w:left="993" w:hanging="426"/>
        <w:jc w:val="both"/>
        <w:rPr>
          <w:rFonts w:ascii="Times New Roman" w:hAnsi="Times New Roman" w:cs="Times New Roman"/>
          <w:kern w:val="0"/>
        </w:rPr>
      </w:pPr>
      <w:r w:rsidRPr="00AB496D">
        <w:rPr>
          <w:rFonts w:ascii="Times New Roman" w:hAnsi="Times New Roman" w:cs="Times New Roman"/>
          <w:kern w:val="0"/>
        </w:rPr>
        <w:t xml:space="preserve">Atlīdzības mainīgo daļu neizmaksā, ja iestājas kaut viens no šādiem apstākļiem: </w:t>
      </w:r>
    </w:p>
    <w:p w14:paraId="0B27AC86" w14:textId="5585C159" w:rsidR="00E2429B" w:rsidRPr="00AB496D" w:rsidRDefault="00E2429B" w:rsidP="00E2429B">
      <w:pPr>
        <w:pStyle w:val="ListParagraph"/>
        <w:numPr>
          <w:ilvl w:val="2"/>
          <w:numId w:val="1"/>
        </w:numPr>
        <w:autoSpaceDE w:val="0"/>
        <w:autoSpaceDN w:val="0"/>
        <w:adjustRightInd w:val="0"/>
        <w:spacing w:after="0" w:line="240" w:lineRule="auto"/>
        <w:ind w:left="1560" w:hanging="567"/>
        <w:jc w:val="both"/>
        <w:rPr>
          <w:rFonts w:ascii="TimesNewRomanPSMT" w:hAnsi="TimesNewRomanPSMT" w:cs="TimesNewRomanPSMT"/>
          <w:kern w:val="0"/>
        </w:rPr>
      </w:pPr>
      <w:r>
        <w:rPr>
          <w:rFonts w:ascii="TimesNewRomanPSMT" w:hAnsi="TimesNewRomanPSMT" w:cs="TimesNewRomanPSMT"/>
          <w:kern w:val="0"/>
        </w:rPr>
        <w:lastRenderedPageBreak/>
        <w:t>Sabiedrības</w:t>
      </w:r>
      <w:r w:rsidRPr="00AB496D">
        <w:rPr>
          <w:rFonts w:ascii="TimesNewRomanPSMT" w:hAnsi="TimesNewRomanPSMT" w:cs="TimesNewRomanPSMT"/>
          <w:kern w:val="0"/>
        </w:rPr>
        <w:t xml:space="preserve"> kapitāldaļu turētāja gala vērtējums par </w:t>
      </w:r>
      <w:r>
        <w:rPr>
          <w:rFonts w:ascii="TimesNewRomanPSMT" w:hAnsi="TimesNewRomanPSMT" w:cs="TimesNewRomanPSMT"/>
          <w:kern w:val="0"/>
        </w:rPr>
        <w:t>Sabiedrības</w:t>
      </w:r>
      <w:r w:rsidRPr="00AB496D">
        <w:rPr>
          <w:rFonts w:ascii="TimesNewRomanPSMT" w:hAnsi="TimesNewRomanPSMT" w:cs="TimesNewRomanPSMT"/>
          <w:kern w:val="0"/>
        </w:rPr>
        <w:t xml:space="preserve"> darbības rezultātiem pārskata gadā ir </w:t>
      </w:r>
      <w:r w:rsidRPr="00AB496D">
        <w:rPr>
          <w:rFonts w:ascii="TimesNewRomanPSMT" w:hAnsi="TimesNewRomanPSMT" w:cs="TimesNewRomanPSMT"/>
          <w:i/>
          <w:iCs/>
          <w:kern w:val="0"/>
        </w:rPr>
        <w:t>“neapmierinoši”</w:t>
      </w:r>
      <w:r w:rsidRPr="00AB496D">
        <w:rPr>
          <w:rFonts w:ascii="TimesNewRomanPSMT" w:hAnsi="TimesNewRomanPSMT" w:cs="TimesNewRomanPSMT"/>
          <w:kern w:val="0"/>
        </w:rPr>
        <w:t xml:space="preserve">; </w:t>
      </w:r>
    </w:p>
    <w:p w14:paraId="0C124702" w14:textId="77777777" w:rsidR="00E2429B" w:rsidRPr="00AB496D" w:rsidRDefault="00E2429B" w:rsidP="00E2429B">
      <w:pPr>
        <w:pStyle w:val="ListParagraph"/>
        <w:numPr>
          <w:ilvl w:val="2"/>
          <w:numId w:val="1"/>
        </w:numPr>
        <w:autoSpaceDE w:val="0"/>
        <w:autoSpaceDN w:val="0"/>
        <w:adjustRightInd w:val="0"/>
        <w:spacing w:after="0" w:line="240" w:lineRule="auto"/>
        <w:ind w:left="1560" w:hanging="567"/>
        <w:jc w:val="both"/>
        <w:rPr>
          <w:rFonts w:ascii="TimesNewRomanPSMT" w:hAnsi="TimesNewRomanPSMT" w:cs="TimesNewRomanPSMT"/>
          <w:kern w:val="0"/>
        </w:rPr>
      </w:pPr>
      <w:r w:rsidRPr="00AB496D">
        <w:rPr>
          <w:rFonts w:ascii="TimesNewRomanPSMT" w:hAnsi="TimesNewRomanPSMT" w:cs="TimesNewRomanPSMT"/>
          <w:kern w:val="0"/>
        </w:rPr>
        <w:t xml:space="preserve">pārskata gada rezultātos konstatētas būtiskas novirzes no plānotajiem mērķiem, kas rada būtiskus riskus kapitālsabiedrības finanšu stabilitātei un ilgtspējīgai attīstībai; </w:t>
      </w:r>
    </w:p>
    <w:p w14:paraId="53618F51" w14:textId="13A05403" w:rsidR="00E2429B" w:rsidRPr="00E2429B" w:rsidRDefault="00E2429B" w:rsidP="00E2429B">
      <w:pPr>
        <w:pStyle w:val="ListParagraph"/>
        <w:numPr>
          <w:ilvl w:val="2"/>
          <w:numId w:val="1"/>
        </w:numPr>
        <w:autoSpaceDE w:val="0"/>
        <w:autoSpaceDN w:val="0"/>
        <w:adjustRightInd w:val="0"/>
        <w:spacing w:after="0" w:line="240" w:lineRule="auto"/>
        <w:ind w:left="1560" w:hanging="567"/>
        <w:jc w:val="both"/>
        <w:rPr>
          <w:rFonts w:ascii="TimesNewRomanPSMT" w:hAnsi="TimesNewRomanPSMT" w:cs="TimesNewRomanPSMT"/>
          <w:kern w:val="0"/>
        </w:rPr>
      </w:pPr>
      <w:r w:rsidRPr="00AB496D">
        <w:rPr>
          <w:rFonts w:ascii="TimesNewRomanPSMT" w:hAnsi="TimesNewRomanPSMT" w:cs="TimesNewRomanPSMT"/>
          <w:kern w:val="0"/>
        </w:rPr>
        <w:t>konstatēta finanšu līdzekļu nepietiekamība.</w:t>
      </w:r>
    </w:p>
    <w:bookmarkEnd w:id="9"/>
    <w:p w14:paraId="7B6162D6" w14:textId="77777777" w:rsidR="0096712B" w:rsidRPr="0096712B" w:rsidRDefault="0096712B" w:rsidP="0096712B">
      <w:pPr>
        <w:spacing w:line="276" w:lineRule="auto"/>
        <w:ind w:left="426"/>
        <w:jc w:val="both"/>
        <w:rPr>
          <w:rFonts w:ascii="Times New Roman" w:hAnsi="Times New Roman" w:cs="Times New Roman"/>
          <w:b/>
          <w:bCs/>
        </w:rPr>
      </w:pPr>
    </w:p>
    <w:p w14:paraId="04C909C8" w14:textId="7A5E6848" w:rsidR="00E55ADA" w:rsidRPr="004447E0" w:rsidRDefault="00E55ADA" w:rsidP="00DB70A9">
      <w:pPr>
        <w:pStyle w:val="ListParagraph"/>
        <w:numPr>
          <w:ilvl w:val="0"/>
          <w:numId w:val="1"/>
        </w:numPr>
        <w:spacing w:line="276" w:lineRule="auto"/>
        <w:ind w:left="284" w:hanging="284"/>
        <w:jc w:val="both"/>
        <w:rPr>
          <w:rFonts w:ascii="Times New Roman" w:hAnsi="Times New Roman" w:cs="Times New Roman"/>
          <w:b/>
          <w:bCs/>
          <w:sz w:val="24"/>
          <w:szCs w:val="24"/>
        </w:rPr>
      </w:pPr>
      <w:bookmarkStart w:id="10" w:name="_Hlk216769540"/>
      <w:r w:rsidRPr="004447E0">
        <w:rPr>
          <w:rFonts w:ascii="Times New Roman" w:hAnsi="Times New Roman" w:cs="Times New Roman"/>
          <w:b/>
          <w:bCs/>
          <w:sz w:val="24"/>
          <w:szCs w:val="24"/>
        </w:rPr>
        <w:t>Apdrošināšana, atsaukšanas pabalsts un tehniskais nodrošinājums</w:t>
      </w:r>
    </w:p>
    <w:bookmarkEnd w:id="10"/>
    <w:p w14:paraId="68074584" w14:textId="0A0701E3" w:rsidR="00FA4FF8" w:rsidRDefault="00DE78F7" w:rsidP="00FA4FF8">
      <w:pPr>
        <w:spacing w:line="276" w:lineRule="auto"/>
        <w:ind w:left="426"/>
        <w:jc w:val="both"/>
        <w:rPr>
          <w:rFonts w:ascii="Times New Roman" w:hAnsi="Times New Roman" w:cs="Times New Roman"/>
          <w:b/>
          <w:bCs/>
        </w:rPr>
      </w:pPr>
      <w:r>
        <w:rPr>
          <w:rFonts w:ascii="Times New Roman" w:hAnsi="Times New Roman" w:cs="Times New Roman"/>
          <w:b/>
          <w:bCs/>
          <w:noProof/>
        </w:rPr>
        <w:drawing>
          <wp:inline distT="0" distB="0" distL="0" distR="0" wp14:anchorId="49E0298C" wp14:editId="1FB6E8BF">
            <wp:extent cx="5274310" cy="1514475"/>
            <wp:effectExtent l="19050" t="0" r="21590" b="9525"/>
            <wp:docPr id="1756800030"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183548" w14:textId="66D924E5" w:rsidR="00FA4FF8" w:rsidRPr="004447E0" w:rsidRDefault="00FA4FF8" w:rsidP="00DB70A9">
      <w:pPr>
        <w:pStyle w:val="Default"/>
        <w:numPr>
          <w:ilvl w:val="1"/>
          <w:numId w:val="1"/>
        </w:numPr>
        <w:spacing w:after="27"/>
        <w:ind w:left="993" w:hanging="426"/>
        <w:jc w:val="both"/>
        <w:rPr>
          <w:sz w:val="22"/>
          <w:szCs w:val="22"/>
        </w:rPr>
      </w:pPr>
      <w:r w:rsidRPr="004447E0">
        <w:rPr>
          <w:sz w:val="22"/>
          <w:szCs w:val="22"/>
        </w:rPr>
        <w:t xml:space="preserve">Atbilstoši Publiskas personas kapitāla daļu un kapitālsabiedrību pārvaldības likumam </w:t>
      </w:r>
      <w:r w:rsidR="00DB70A9" w:rsidRPr="004447E0">
        <w:rPr>
          <w:sz w:val="22"/>
          <w:szCs w:val="22"/>
        </w:rPr>
        <w:t>Sabiedrības</w:t>
      </w:r>
      <w:r w:rsidRPr="004447E0">
        <w:rPr>
          <w:sz w:val="22"/>
          <w:szCs w:val="22"/>
        </w:rPr>
        <w:t xml:space="preserve"> valdei ir pielīgts atsaukšanas pabalsts un apdrošināšana. </w:t>
      </w:r>
    </w:p>
    <w:p w14:paraId="33C0E047" w14:textId="77777777" w:rsidR="00FA4FF8" w:rsidRPr="004447E0" w:rsidRDefault="00FA4FF8" w:rsidP="00DB70A9">
      <w:pPr>
        <w:pStyle w:val="Default"/>
        <w:numPr>
          <w:ilvl w:val="1"/>
          <w:numId w:val="1"/>
        </w:numPr>
        <w:spacing w:after="27"/>
        <w:ind w:left="993" w:hanging="426"/>
        <w:jc w:val="both"/>
        <w:rPr>
          <w:sz w:val="22"/>
          <w:szCs w:val="22"/>
        </w:rPr>
      </w:pPr>
      <w:r w:rsidRPr="004447E0">
        <w:rPr>
          <w:sz w:val="22"/>
          <w:szCs w:val="22"/>
        </w:rPr>
        <w:t xml:space="preserve"> Piešķirot valdei apdrošināšanu, izvērtē tās lietderību darba pienākumu veikšanas kontekstā. </w:t>
      </w:r>
    </w:p>
    <w:p w14:paraId="0968C476" w14:textId="77777777" w:rsidR="00FA4FF8" w:rsidRPr="004447E0" w:rsidRDefault="00FA4FF8" w:rsidP="00DB70A9">
      <w:pPr>
        <w:pStyle w:val="Default"/>
        <w:numPr>
          <w:ilvl w:val="1"/>
          <w:numId w:val="1"/>
        </w:numPr>
        <w:spacing w:after="27"/>
        <w:ind w:left="993" w:hanging="426"/>
        <w:jc w:val="both"/>
        <w:rPr>
          <w:sz w:val="22"/>
          <w:szCs w:val="22"/>
        </w:rPr>
      </w:pPr>
      <w:r w:rsidRPr="004447E0">
        <w:rPr>
          <w:sz w:val="22"/>
          <w:szCs w:val="22"/>
        </w:rPr>
        <w:t xml:space="preserve">Darba pienākumu veikšanai piemēro veselības apdrošināšanu, civiltiesisko apdrošināšanu un ar nosūtīšanu komandējumā saistītu apdrošināšanu, kad tas nepieciešams. </w:t>
      </w:r>
    </w:p>
    <w:p w14:paraId="13458CFB" w14:textId="7BC9000A" w:rsidR="00FA4FF8" w:rsidRPr="004447E0" w:rsidRDefault="00FA4FF8" w:rsidP="00DB70A9">
      <w:pPr>
        <w:pStyle w:val="Default"/>
        <w:numPr>
          <w:ilvl w:val="1"/>
          <w:numId w:val="1"/>
        </w:numPr>
        <w:spacing w:after="27"/>
        <w:ind w:left="993" w:hanging="426"/>
        <w:jc w:val="both"/>
        <w:rPr>
          <w:sz w:val="22"/>
          <w:szCs w:val="22"/>
        </w:rPr>
      </w:pPr>
      <w:r w:rsidRPr="004447E0">
        <w:rPr>
          <w:sz w:val="22"/>
          <w:szCs w:val="22"/>
        </w:rPr>
        <w:t xml:space="preserve">Valdes locekļiem tiešo darba pienākumu veikšanai piešķir tehnisko nodrošinājumu – datortehniku, tālruni ar mobilajiem sakariem, kā arī nosaka noteiktu degvielas limitu </w:t>
      </w:r>
      <w:r w:rsidR="00DB70A9" w:rsidRPr="004447E0">
        <w:rPr>
          <w:sz w:val="22"/>
          <w:szCs w:val="22"/>
        </w:rPr>
        <w:t xml:space="preserve">Sabiedrības </w:t>
      </w:r>
      <w:r w:rsidRPr="004447E0">
        <w:rPr>
          <w:sz w:val="22"/>
          <w:szCs w:val="22"/>
        </w:rPr>
        <w:t xml:space="preserve">īpašumā, valdījumā vai patapinājumā esošā transporta izmantošanai ar darbu saistīto pienākumu veikšanai.  </w:t>
      </w:r>
    </w:p>
    <w:p w14:paraId="6E3E2FCE" w14:textId="168CB17A" w:rsidR="00FA4FF8" w:rsidRPr="004447E0" w:rsidRDefault="00FA4FF8" w:rsidP="00DB70A9">
      <w:pPr>
        <w:pStyle w:val="Default"/>
        <w:numPr>
          <w:ilvl w:val="1"/>
          <w:numId w:val="1"/>
        </w:numPr>
        <w:spacing w:after="27"/>
        <w:ind w:left="993" w:hanging="426"/>
        <w:jc w:val="both"/>
        <w:rPr>
          <w:sz w:val="22"/>
          <w:szCs w:val="22"/>
        </w:rPr>
      </w:pPr>
      <w:r w:rsidRPr="004447E0">
        <w:rPr>
          <w:sz w:val="22"/>
          <w:szCs w:val="22"/>
        </w:rPr>
        <w:t xml:space="preserve">Atsaukšanas pabalstu piešķir, ja valdes loceklis no amata atsaukts pirms pilnvaru termiņa beigām un ja atsaukšana nav saistīta ar pilnvaru pārkāpšanu, pienākumu neizpildi vai nepienācīgu izpildi, kā arī kaitējuma nodarīšanu </w:t>
      </w:r>
      <w:r w:rsidR="00DB70A9" w:rsidRPr="004447E0">
        <w:rPr>
          <w:sz w:val="22"/>
          <w:szCs w:val="22"/>
        </w:rPr>
        <w:t xml:space="preserve">Sabiedrības </w:t>
      </w:r>
      <w:r w:rsidRPr="004447E0">
        <w:rPr>
          <w:sz w:val="22"/>
          <w:szCs w:val="22"/>
        </w:rPr>
        <w:t xml:space="preserve">interesēm. </w:t>
      </w:r>
    </w:p>
    <w:p w14:paraId="0FC5BD0E" w14:textId="2B8CCE08" w:rsidR="00DB70A9" w:rsidRPr="004447E0" w:rsidRDefault="00DB70A9" w:rsidP="00DB70A9">
      <w:pPr>
        <w:pStyle w:val="Default"/>
        <w:numPr>
          <w:ilvl w:val="1"/>
          <w:numId w:val="1"/>
        </w:numPr>
        <w:spacing w:after="27"/>
        <w:ind w:left="993" w:hanging="426"/>
        <w:jc w:val="both"/>
        <w:rPr>
          <w:sz w:val="22"/>
          <w:szCs w:val="22"/>
        </w:rPr>
      </w:pPr>
      <w:r w:rsidRPr="004447E0">
        <w:rPr>
          <w:sz w:val="22"/>
          <w:szCs w:val="22"/>
        </w:rPr>
        <w:t>Atsaukšanas pabalsta apmēru nosaka, ņemot vērā nostrādāto laiku Sabiedrības. Ja valdes loceklis amata pilnvaras nepārtraukti pilda:</w:t>
      </w:r>
    </w:p>
    <w:p w14:paraId="38029EF6" w14:textId="77777777" w:rsidR="00DB70A9" w:rsidRPr="004447E0" w:rsidRDefault="00DB70A9" w:rsidP="00DB70A9">
      <w:pPr>
        <w:pStyle w:val="Default"/>
        <w:numPr>
          <w:ilvl w:val="0"/>
          <w:numId w:val="12"/>
        </w:numPr>
        <w:spacing w:after="27"/>
        <w:jc w:val="both"/>
        <w:rPr>
          <w:sz w:val="22"/>
          <w:szCs w:val="22"/>
        </w:rPr>
      </w:pPr>
      <w:r w:rsidRPr="004447E0">
        <w:rPr>
          <w:sz w:val="22"/>
          <w:szCs w:val="22"/>
        </w:rPr>
        <w:t xml:space="preserve">mazāk kā divus gadus, bet ne mazāk par pusgadu, atsaukšanas pabalstu nosaka vienas mēneša atlīdzības apmērā; </w:t>
      </w:r>
    </w:p>
    <w:p w14:paraId="579911D1" w14:textId="77777777" w:rsidR="00DB70A9" w:rsidRPr="004447E0" w:rsidRDefault="00DB70A9" w:rsidP="00DB70A9">
      <w:pPr>
        <w:pStyle w:val="Default"/>
        <w:numPr>
          <w:ilvl w:val="0"/>
          <w:numId w:val="12"/>
        </w:numPr>
        <w:spacing w:after="27"/>
        <w:jc w:val="both"/>
        <w:rPr>
          <w:sz w:val="22"/>
          <w:szCs w:val="22"/>
        </w:rPr>
      </w:pPr>
      <w:r w:rsidRPr="004447E0">
        <w:rPr>
          <w:sz w:val="22"/>
          <w:szCs w:val="22"/>
        </w:rPr>
        <w:t xml:space="preserve">divus līdz četrus gadus – atsaukšanas pabalstu nosaka divu mēneša atlīdzību apmērā; </w:t>
      </w:r>
    </w:p>
    <w:p w14:paraId="0CA95B17" w14:textId="7D865AB7" w:rsidR="00FA4FF8" w:rsidRDefault="00DB70A9" w:rsidP="00DB70A9">
      <w:pPr>
        <w:pStyle w:val="Default"/>
        <w:numPr>
          <w:ilvl w:val="0"/>
          <w:numId w:val="12"/>
        </w:numPr>
        <w:spacing w:after="27"/>
        <w:jc w:val="both"/>
        <w:rPr>
          <w:sz w:val="22"/>
          <w:szCs w:val="22"/>
        </w:rPr>
      </w:pPr>
      <w:r w:rsidRPr="004447E0">
        <w:rPr>
          <w:sz w:val="22"/>
          <w:szCs w:val="22"/>
        </w:rPr>
        <w:t xml:space="preserve">vairāk kā četrus gadus – atsaukšanas pabalstu nosaka trīs mēneša atlīdzību apmērā. </w:t>
      </w:r>
    </w:p>
    <w:p w14:paraId="24B2EF00" w14:textId="77777777" w:rsidR="004447E0" w:rsidRPr="004447E0" w:rsidRDefault="004447E0" w:rsidP="004447E0">
      <w:pPr>
        <w:pStyle w:val="Default"/>
        <w:spacing w:after="27"/>
        <w:ind w:left="1713"/>
        <w:jc w:val="both"/>
        <w:rPr>
          <w:sz w:val="22"/>
          <w:szCs w:val="22"/>
        </w:rPr>
      </w:pPr>
    </w:p>
    <w:p w14:paraId="58667365" w14:textId="5CD91298" w:rsidR="00E55ADA" w:rsidRPr="004447E0" w:rsidRDefault="00E55ADA" w:rsidP="00DB70A9">
      <w:pPr>
        <w:pStyle w:val="ListParagraph"/>
        <w:numPr>
          <w:ilvl w:val="0"/>
          <w:numId w:val="1"/>
        </w:numPr>
        <w:spacing w:line="276" w:lineRule="auto"/>
        <w:ind w:left="284" w:hanging="284"/>
        <w:jc w:val="both"/>
        <w:rPr>
          <w:rFonts w:ascii="Times New Roman" w:hAnsi="Times New Roman" w:cs="Times New Roman"/>
          <w:b/>
          <w:bCs/>
          <w:sz w:val="24"/>
          <w:szCs w:val="24"/>
        </w:rPr>
      </w:pPr>
      <w:r w:rsidRPr="004447E0">
        <w:rPr>
          <w:rFonts w:ascii="Times New Roman" w:hAnsi="Times New Roman" w:cs="Times New Roman"/>
          <w:b/>
          <w:bCs/>
          <w:sz w:val="24"/>
          <w:szCs w:val="24"/>
        </w:rPr>
        <w:t>Politikas pārskatīšana un publiskošana</w:t>
      </w:r>
    </w:p>
    <w:p w14:paraId="46703DC6" w14:textId="7B86E047" w:rsidR="00DB70A9" w:rsidRDefault="00DB70A9" w:rsidP="004447E0">
      <w:pPr>
        <w:pStyle w:val="ListParagraph"/>
        <w:numPr>
          <w:ilvl w:val="1"/>
          <w:numId w:val="1"/>
        </w:numPr>
        <w:spacing w:line="276" w:lineRule="auto"/>
        <w:ind w:left="993" w:hanging="426"/>
        <w:jc w:val="both"/>
        <w:rPr>
          <w:rFonts w:ascii="Times New Roman" w:hAnsi="Times New Roman" w:cs="Times New Roman"/>
        </w:rPr>
      </w:pPr>
      <w:r w:rsidRPr="00DB70A9">
        <w:rPr>
          <w:rFonts w:ascii="Times New Roman" w:hAnsi="Times New Roman" w:cs="Times New Roman"/>
        </w:rPr>
        <w:t>Apstiprināto politiku publicē Sabiedrības tīmekļvietnē</w:t>
      </w:r>
      <w:r w:rsidR="0010210F">
        <w:rPr>
          <w:rFonts w:ascii="Times New Roman" w:hAnsi="Times New Roman" w:cs="Times New Roman"/>
        </w:rPr>
        <w:t xml:space="preserve"> </w:t>
      </w:r>
      <w:r w:rsidR="0010210F" w:rsidRPr="0010210F">
        <w:rPr>
          <w:rFonts w:ascii="Times New Roman" w:hAnsi="Times New Roman" w:cs="Times New Roman"/>
        </w:rPr>
        <w:t>www.</w:t>
      </w:r>
      <w:r w:rsidR="00915428">
        <w:rPr>
          <w:rFonts w:ascii="Times New Roman" w:hAnsi="Times New Roman" w:cs="Times New Roman"/>
        </w:rPr>
        <w:t>kkp</w:t>
      </w:r>
      <w:r w:rsidR="0010210F" w:rsidRPr="0010210F">
        <w:rPr>
          <w:rFonts w:ascii="Times New Roman" w:hAnsi="Times New Roman" w:cs="Times New Roman"/>
        </w:rPr>
        <w:t>.lv</w:t>
      </w:r>
      <w:r w:rsidR="0010210F">
        <w:rPr>
          <w:rFonts w:ascii="Times New Roman" w:hAnsi="Times New Roman" w:cs="Times New Roman"/>
        </w:rPr>
        <w:t>.</w:t>
      </w:r>
    </w:p>
    <w:p w14:paraId="2C03669A" w14:textId="5D99F7D6" w:rsidR="00DB70A9" w:rsidRDefault="00DB70A9" w:rsidP="004447E0">
      <w:pPr>
        <w:pStyle w:val="ListParagraph"/>
        <w:numPr>
          <w:ilvl w:val="1"/>
          <w:numId w:val="1"/>
        </w:numPr>
        <w:spacing w:line="276" w:lineRule="auto"/>
        <w:ind w:left="993" w:hanging="426"/>
        <w:jc w:val="both"/>
        <w:rPr>
          <w:rFonts w:ascii="Times New Roman" w:hAnsi="Times New Roman" w:cs="Times New Roman"/>
        </w:rPr>
      </w:pPr>
      <w:r>
        <w:rPr>
          <w:rFonts w:ascii="Times New Roman" w:hAnsi="Times New Roman" w:cs="Times New Roman"/>
        </w:rPr>
        <w:t>Politiku pārskata pēc nepieciešamības un iesniedz apstiprināšanai dalībnieku (akcionāru sapulcē), bet ne retāk kā reizi 4 gados.</w:t>
      </w:r>
    </w:p>
    <w:p w14:paraId="4CE13FFE" w14:textId="77777777" w:rsidR="009831F3" w:rsidRDefault="009831F3" w:rsidP="009831F3">
      <w:pPr>
        <w:pStyle w:val="ListParagraph"/>
        <w:spacing w:line="276" w:lineRule="auto"/>
        <w:ind w:left="993"/>
        <w:jc w:val="both"/>
        <w:rPr>
          <w:rFonts w:ascii="Times New Roman" w:hAnsi="Times New Roman" w:cs="Times New Roman"/>
        </w:rPr>
      </w:pPr>
    </w:p>
    <w:p w14:paraId="373BE598" w14:textId="77777777" w:rsidR="009831F3" w:rsidRDefault="009831F3" w:rsidP="009831F3">
      <w:pPr>
        <w:pStyle w:val="ListParagraph"/>
        <w:spacing w:line="276" w:lineRule="auto"/>
        <w:ind w:left="993"/>
        <w:jc w:val="both"/>
        <w:rPr>
          <w:rFonts w:ascii="Times New Roman" w:hAnsi="Times New Roman" w:cs="Times New Roman"/>
        </w:rPr>
      </w:pPr>
    </w:p>
    <w:p w14:paraId="2E7D8379" w14:textId="77777777" w:rsidR="009831F3" w:rsidRDefault="009831F3" w:rsidP="009831F3">
      <w:pPr>
        <w:pStyle w:val="ListParagraph"/>
        <w:spacing w:line="276" w:lineRule="auto"/>
        <w:ind w:left="993"/>
        <w:jc w:val="both"/>
        <w:rPr>
          <w:rFonts w:ascii="Times New Roman" w:hAnsi="Times New Roman" w:cs="Times New Roman"/>
        </w:rPr>
      </w:pPr>
    </w:p>
    <w:p w14:paraId="73174EA1" w14:textId="77777777" w:rsidR="009831F3" w:rsidRDefault="009831F3" w:rsidP="009831F3">
      <w:pPr>
        <w:pStyle w:val="ListParagraph"/>
        <w:spacing w:line="276" w:lineRule="auto"/>
        <w:ind w:left="993"/>
        <w:jc w:val="both"/>
        <w:rPr>
          <w:rFonts w:ascii="Times New Roman" w:hAnsi="Times New Roman" w:cs="Times New Roman"/>
        </w:rPr>
      </w:pPr>
    </w:p>
    <w:p w14:paraId="20CBDE35" w14:textId="77777777" w:rsidR="000510CA" w:rsidRDefault="000510CA" w:rsidP="009831F3">
      <w:pPr>
        <w:pStyle w:val="ListParagraph"/>
        <w:spacing w:line="276" w:lineRule="auto"/>
        <w:ind w:left="993"/>
        <w:jc w:val="both"/>
        <w:rPr>
          <w:rFonts w:ascii="Times New Roman" w:hAnsi="Times New Roman" w:cs="Times New Roman"/>
        </w:rPr>
        <w:sectPr w:rsidR="000510CA">
          <w:pgSz w:w="11906" w:h="16838"/>
          <w:pgMar w:top="1440" w:right="1800" w:bottom="1440" w:left="1800" w:header="708" w:footer="708" w:gutter="0"/>
          <w:cols w:space="708"/>
          <w:docGrid w:linePitch="360"/>
        </w:sectPr>
      </w:pPr>
    </w:p>
    <w:p w14:paraId="2D6A3B7A" w14:textId="77777777" w:rsidR="009831F3" w:rsidRPr="00896852" w:rsidRDefault="009831F3" w:rsidP="009831F3">
      <w:pPr>
        <w:pStyle w:val="ListParagraph"/>
        <w:jc w:val="center"/>
        <w:rPr>
          <w:rFonts w:ascii="Times New Roman" w:hAnsi="Times New Roman" w:cs="Times New Roman"/>
          <w:b/>
          <w:bCs/>
          <w:sz w:val="28"/>
          <w:szCs w:val="28"/>
        </w:rPr>
      </w:pPr>
      <w:r w:rsidRPr="00896852">
        <w:rPr>
          <w:rFonts w:ascii="Times New Roman" w:hAnsi="Times New Roman" w:cs="Times New Roman"/>
          <w:b/>
          <w:bCs/>
          <w:sz w:val="28"/>
          <w:szCs w:val="28"/>
        </w:rPr>
        <w:lastRenderedPageBreak/>
        <w:t>Kritēriju novērtēšana valdes locekļa prēmijas aprēķināšanai</w:t>
      </w:r>
    </w:p>
    <w:p w14:paraId="5F7874AF" w14:textId="77777777" w:rsidR="009831F3" w:rsidRPr="00896852" w:rsidRDefault="009831F3" w:rsidP="009831F3">
      <w:pPr>
        <w:pStyle w:val="ListParagraph"/>
        <w:rPr>
          <w:rFonts w:ascii="Times New Roman" w:hAnsi="Times New Roman" w:cs="Times New Roman"/>
          <w:sz w:val="28"/>
          <w:szCs w:val="28"/>
        </w:rPr>
      </w:pPr>
    </w:p>
    <w:tbl>
      <w:tblPr>
        <w:tblW w:w="0" w:type="auto"/>
        <w:tblInd w:w="-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301"/>
        <w:gridCol w:w="3464"/>
        <w:gridCol w:w="3464"/>
        <w:gridCol w:w="3663"/>
      </w:tblGrid>
      <w:tr w:rsidR="009831F3" w14:paraId="65A72383" w14:textId="77777777" w:rsidTr="0092412C">
        <w:trPr>
          <w:trHeight w:val="675"/>
        </w:trPr>
        <w:tc>
          <w:tcPr>
            <w:tcW w:w="3301" w:type="dxa"/>
            <w:tcBorders>
              <w:top w:val="single" w:sz="4" w:space="0" w:color="auto"/>
              <w:left w:val="single" w:sz="4" w:space="0" w:color="auto"/>
              <w:bottom w:val="single" w:sz="4" w:space="0" w:color="auto"/>
              <w:right w:val="single" w:sz="4" w:space="0" w:color="auto"/>
            </w:tcBorders>
            <w:vAlign w:val="center"/>
          </w:tcPr>
          <w:p w14:paraId="2B2154B6" w14:textId="77777777" w:rsidR="009831F3" w:rsidRDefault="009831F3" w:rsidP="0092412C">
            <w:pPr>
              <w:pStyle w:val="Default"/>
              <w:jc w:val="center"/>
              <w:rPr>
                <w:sz w:val="22"/>
                <w:szCs w:val="22"/>
              </w:rPr>
            </w:pPr>
            <w:r>
              <w:rPr>
                <w:b/>
                <w:bCs/>
                <w:sz w:val="22"/>
                <w:szCs w:val="22"/>
              </w:rPr>
              <w:t>Kritērijs</w:t>
            </w:r>
          </w:p>
        </w:tc>
        <w:tc>
          <w:tcPr>
            <w:tcW w:w="3464" w:type="dxa"/>
            <w:tcBorders>
              <w:top w:val="single" w:sz="4" w:space="0" w:color="auto"/>
              <w:left w:val="single" w:sz="4" w:space="0" w:color="auto"/>
              <w:bottom w:val="single" w:sz="4" w:space="0" w:color="auto"/>
              <w:right w:val="single" w:sz="4" w:space="0" w:color="auto"/>
            </w:tcBorders>
            <w:vAlign w:val="center"/>
          </w:tcPr>
          <w:p w14:paraId="38BB9C9D" w14:textId="77777777" w:rsidR="009831F3" w:rsidRDefault="009831F3" w:rsidP="0092412C">
            <w:pPr>
              <w:pStyle w:val="Default"/>
              <w:jc w:val="center"/>
              <w:rPr>
                <w:sz w:val="22"/>
                <w:szCs w:val="22"/>
              </w:rPr>
            </w:pPr>
            <w:r>
              <w:rPr>
                <w:b/>
                <w:bCs/>
                <w:sz w:val="22"/>
                <w:szCs w:val="22"/>
              </w:rPr>
              <w:t>Atbilstošā prēmijas daļa par kritēriju, %</w:t>
            </w:r>
          </w:p>
        </w:tc>
        <w:tc>
          <w:tcPr>
            <w:tcW w:w="3464" w:type="dxa"/>
            <w:tcBorders>
              <w:top w:val="single" w:sz="4" w:space="0" w:color="auto"/>
              <w:left w:val="single" w:sz="4" w:space="0" w:color="auto"/>
              <w:bottom w:val="single" w:sz="4" w:space="0" w:color="auto"/>
              <w:right w:val="single" w:sz="4" w:space="0" w:color="auto"/>
            </w:tcBorders>
            <w:vAlign w:val="center"/>
          </w:tcPr>
          <w:p w14:paraId="10740C5A" w14:textId="77777777" w:rsidR="009831F3" w:rsidRDefault="009831F3" w:rsidP="0092412C">
            <w:pPr>
              <w:pStyle w:val="Default"/>
              <w:jc w:val="center"/>
              <w:rPr>
                <w:sz w:val="22"/>
                <w:szCs w:val="22"/>
              </w:rPr>
            </w:pPr>
            <w:r>
              <w:rPr>
                <w:b/>
                <w:bCs/>
                <w:sz w:val="22"/>
                <w:szCs w:val="22"/>
              </w:rPr>
              <w:t>Kritērija novērtējums</w:t>
            </w:r>
          </w:p>
        </w:tc>
        <w:tc>
          <w:tcPr>
            <w:tcW w:w="3663" w:type="dxa"/>
            <w:tcBorders>
              <w:top w:val="single" w:sz="4" w:space="0" w:color="auto"/>
              <w:left w:val="single" w:sz="4" w:space="0" w:color="auto"/>
              <w:bottom w:val="single" w:sz="4" w:space="0" w:color="auto"/>
              <w:right w:val="single" w:sz="4" w:space="0" w:color="auto"/>
            </w:tcBorders>
            <w:vAlign w:val="center"/>
          </w:tcPr>
          <w:p w14:paraId="4F0A9FF4" w14:textId="77777777" w:rsidR="009831F3" w:rsidRDefault="009831F3" w:rsidP="0092412C">
            <w:pPr>
              <w:pStyle w:val="Default"/>
              <w:jc w:val="center"/>
              <w:rPr>
                <w:sz w:val="22"/>
                <w:szCs w:val="22"/>
              </w:rPr>
            </w:pPr>
            <w:r>
              <w:rPr>
                <w:b/>
                <w:bCs/>
                <w:sz w:val="22"/>
                <w:szCs w:val="22"/>
              </w:rPr>
              <w:t>Faktiskais prēmijas daļa par kritēriju, %</w:t>
            </w:r>
          </w:p>
        </w:tc>
      </w:tr>
      <w:tr w:rsidR="009831F3" w14:paraId="7EC2B82F" w14:textId="77777777" w:rsidTr="0092412C">
        <w:trPr>
          <w:trHeight w:val="1251"/>
        </w:trPr>
        <w:tc>
          <w:tcPr>
            <w:tcW w:w="3301" w:type="dxa"/>
            <w:tcBorders>
              <w:top w:val="single" w:sz="4" w:space="0" w:color="auto"/>
              <w:left w:val="single" w:sz="4" w:space="0" w:color="auto"/>
              <w:bottom w:val="single" w:sz="4" w:space="0" w:color="auto"/>
              <w:right w:val="single" w:sz="4" w:space="0" w:color="auto"/>
            </w:tcBorders>
            <w:vAlign w:val="center"/>
          </w:tcPr>
          <w:p w14:paraId="580A4A8E" w14:textId="4FF37ECA" w:rsidR="009831F3" w:rsidRDefault="009831F3" w:rsidP="0092412C">
            <w:pPr>
              <w:pStyle w:val="Default"/>
              <w:rPr>
                <w:sz w:val="22"/>
                <w:szCs w:val="22"/>
              </w:rPr>
            </w:pPr>
            <w:r>
              <w:rPr>
                <w:sz w:val="22"/>
                <w:szCs w:val="22"/>
              </w:rPr>
              <w:t xml:space="preserve">Sabiedrības darbības rezultāti iepriekšējā pārskata gadā (budžeta izpilde) </w:t>
            </w:r>
          </w:p>
        </w:tc>
        <w:tc>
          <w:tcPr>
            <w:tcW w:w="3464" w:type="dxa"/>
            <w:tcBorders>
              <w:top w:val="single" w:sz="4" w:space="0" w:color="auto"/>
              <w:left w:val="single" w:sz="4" w:space="0" w:color="auto"/>
              <w:bottom w:val="single" w:sz="4" w:space="0" w:color="auto"/>
              <w:right w:val="single" w:sz="4" w:space="0" w:color="auto"/>
            </w:tcBorders>
            <w:vAlign w:val="center"/>
          </w:tcPr>
          <w:p w14:paraId="1DDB0DFE" w14:textId="77777777" w:rsidR="009831F3" w:rsidRDefault="009831F3" w:rsidP="0092412C">
            <w:pPr>
              <w:pStyle w:val="Default"/>
              <w:jc w:val="center"/>
              <w:rPr>
                <w:sz w:val="22"/>
                <w:szCs w:val="22"/>
              </w:rPr>
            </w:pPr>
            <w:r>
              <w:rPr>
                <w:sz w:val="22"/>
                <w:szCs w:val="22"/>
              </w:rPr>
              <w:t>30 %</w:t>
            </w:r>
          </w:p>
        </w:tc>
        <w:tc>
          <w:tcPr>
            <w:tcW w:w="3464" w:type="dxa"/>
            <w:tcBorders>
              <w:top w:val="single" w:sz="4" w:space="0" w:color="auto"/>
              <w:left w:val="single" w:sz="4" w:space="0" w:color="auto"/>
              <w:bottom w:val="single" w:sz="4" w:space="0" w:color="auto"/>
              <w:right w:val="single" w:sz="4" w:space="0" w:color="auto"/>
            </w:tcBorders>
            <w:vAlign w:val="center"/>
          </w:tcPr>
          <w:p w14:paraId="77B48C08" w14:textId="77777777" w:rsidR="009831F3" w:rsidRDefault="009831F3" w:rsidP="0092412C">
            <w:pPr>
              <w:pStyle w:val="Default"/>
              <w:rPr>
                <w:sz w:val="22"/>
                <w:szCs w:val="22"/>
              </w:rPr>
            </w:pPr>
            <w:r>
              <w:rPr>
                <w:sz w:val="22"/>
                <w:szCs w:val="22"/>
              </w:rPr>
              <w:t xml:space="preserve">1) budžeta izpilde 95-100 % </w:t>
            </w:r>
          </w:p>
          <w:p w14:paraId="646D090A" w14:textId="77777777" w:rsidR="009831F3" w:rsidRDefault="009831F3" w:rsidP="0092412C">
            <w:pPr>
              <w:pStyle w:val="Default"/>
              <w:rPr>
                <w:sz w:val="22"/>
                <w:szCs w:val="22"/>
              </w:rPr>
            </w:pPr>
            <w:r>
              <w:rPr>
                <w:sz w:val="22"/>
                <w:szCs w:val="22"/>
              </w:rPr>
              <w:t xml:space="preserve">2) budžeta izpilde 81-94 %; </w:t>
            </w:r>
          </w:p>
          <w:p w14:paraId="4600A178" w14:textId="77777777" w:rsidR="009831F3" w:rsidRDefault="009831F3" w:rsidP="0092412C">
            <w:pPr>
              <w:pStyle w:val="Default"/>
              <w:rPr>
                <w:sz w:val="22"/>
                <w:szCs w:val="22"/>
              </w:rPr>
            </w:pPr>
            <w:r>
              <w:rPr>
                <w:sz w:val="22"/>
                <w:szCs w:val="22"/>
              </w:rPr>
              <w:t xml:space="preserve">3) budžeta izpilde 60-80 %; </w:t>
            </w:r>
          </w:p>
          <w:p w14:paraId="213F5475" w14:textId="77777777" w:rsidR="009831F3" w:rsidRDefault="009831F3" w:rsidP="0092412C">
            <w:pPr>
              <w:pStyle w:val="Default"/>
              <w:rPr>
                <w:sz w:val="22"/>
                <w:szCs w:val="22"/>
              </w:rPr>
            </w:pPr>
            <w:r>
              <w:rPr>
                <w:sz w:val="22"/>
                <w:szCs w:val="22"/>
              </w:rPr>
              <w:t xml:space="preserve">4) budžeta izpilde mazāk par 59 %. </w:t>
            </w:r>
          </w:p>
        </w:tc>
        <w:tc>
          <w:tcPr>
            <w:tcW w:w="3663" w:type="dxa"/>
            <w:tcBorders>
              <w:top w:val="single" w:sz="4" w:space="0" w:color="auto"/>
              <w:left w:val="single" w:sz="4" w:space="0" w:color="auto"/>
              <w:bottom w:val="single" w:sz="4" w:space="0" w:color="auto"/>
              <w:right w:val="single" w:sz="4" w:space="0" w:color="auto"/>
            </w:tcBorders>
            <w:vAlign w:val="center"/>
          </w:tcPr>
          <w:p w14:paraId="1597DA82" w14:textId="77777777" w:rsidR="009831F3" w:rsidRDefault="009831F3" w:rsidP="0092412C">
            <w:pPr>
              <w:pStyle w:val="Default"/>
              <w:rPr>
                <w:sz w:val="22"/>
                <w:szCs w:val="22"/>
              </w:rPr>
            </w:pPr>
            <w:r>
              <w:rPr>
                <w:sz w:val="22"/>
                <w:szCs w:val="22"/>
              </w:rPr>
              <w:t>1) 30 %;</w:t>
            </w:r>
          </w:p>
          <w:p w14:paraId="7DA66412" w14:textId="77777777" w:rsidR="009831F3" w:rsidRDefault="009831F3" w:rsidP="0092412C">
            <w:pPr>
              <w:pStyle w:val="Default"/>
              <w:rPr>
                <w:sz w:val="22"/>
                <w:szCs w:val="22"/>
              </w:rPr>
            </w:pPr>
            <w:r>
              <w:rPr>
                <w:sz w:val="22"/>
                <w:szCs w:val="22"/>
              </w:rPr>
              <w:t>2) 20 %;</w:t>
            </w:r>
          </w:p>
          <w:p w14:paraId="735A053D" w14:textId="77777777" w:rsidR="009831F3" w:rsidRDefault="009831F3" w:rsidP="0092412C">
            <w:pPr>
              <w:pStyle w:val="Default"/>
              <w:rPr>
                <w:sz w:val="22"/>
                <w:szCs w:val="22"/>
              </w:rPr>
            </w:pPr>
            <w:r>
              <w:rPr>
                <w:sz w:val="22"/>
                <w:szCs w:val="22"/>
              </w:rPr>
              <w:t>3) 10 %;</w:t>
            </w:r>
          </w:p>
          <w:p w14:paraId="5F87FB5B" w14:textId="77777777" w:rsidR="009831F3" w:rsidRDefault="009831F3" w:rsidP="0092412C">
            <w:pPr>
              <w:pStyle w:val="Default"/>
              <w:rPr>
                <w:sz w:val="22"/>
                <w:szCs w:val="22"/>
              </w:rPr>
            </w:pPr>
            <w:r>
              <w:rPr>
                <w:sz w:val="22"/>
                <w:szCs w:val="22"/>
              </w:rPr>
              <w:t>4) 0 %</w:t>
            </w:r>
          </w:p>
        </w:tc>
      </w:tr>
      <w:tr w:rsidR="009831F3" w14:paraId="1C30FCDB" w14:textId="77777777" w:rsidTr="0092412C">
        <w:trPr>
          <w:trHeight w:val="479"/>
        </w:trPr>
        <w:tc>
          <w:tcPr>
            <w:tcW w:w="3301" w:type="dxa"/>
            <w:tcBorders>
              <w:top w:val="single" w:sz="4" w:space="0" w:color="auto"/>
              <w:left w:val="single" w:sz="4" w:space="0" w:color="auto"/>
              <w:bottom w:val="single" w:sz="4" w:space="0" w:color="auto"/>
              <w:right w:val="single" w:sz="4" w:space="0" w:color="auto"/>
            </w:tcBorders>
            <w:vAlign w:val="center"/>
          </w:tcPr>
          <w:p w14:paraId="0F20D305" w14:textId="77777777" w:rsidR="009831F3" w:rsidRDefault="009831F3" w:rsidP="0092412C">
            <w:pPr>
              <w:pStyle w:val="Default"/>
              <w:rPr>
                <w:sz w:val="22"/>
                <w:szCs w:val="22"/>
              </w:rPr>
            </w:pPr>
            <w:r>
              <w:rPr>
                <w:sz w:val="22"/>
                <w:szCs w:val="22"/>
              </w:rPr>
              <w:t>Vidēja termiņa darbības stratēģijas izpilde un kapitālsabiedrības rezultāti saskaņā ar definētajiem finanšu un nefinanšu mērķiem/deleģējumu līgumu izpilde</w:t>
            </w:r>
          </w:p>
        </w:tc>
        <w:tc>
          <w:tcPr>
            <w:tcW w:w="3464" w:type="dxa"/>
            <w:tcBorders>
              <w:top w:val="single" w:sz="4" w:space="0" w:color="auto"/>
              <w:left w:val="single" w:sz="4" w:space="0" w:color="auto"/>
              <w:bottom w:val="single" w:sz="4" w:space="0" w:color="auto"/>
              <w:right w:val="single" w:sz="4" w:space="0" w:color="auto"/>
            </w:tcBorders>
            <w:vAlign w:val="center"/>
          </w:tcPr>
          <w:p w14:paraId="794C28AD" w14:textId="77777777" w:rsidR="009831F3" w:rsidRDefault="009831F3" w:rsidP="0092412C">
            <w:pPr>
              <w:pStyle w:val="Default"/>
              <w:jc w:val="center"/>
              <w:rPr>
                <w:sz w:val="22"/>
                <w:szCs w:val="22"/>
              </w:rPr>
            </w:pPr>
            <w:r>
              <w:rPr>
                <w:sz w:val="22"/>
                <w:szCs w:val="22"/>
              </w:rPr>
              <w:t>35 %</w:t>
            </w:r>
          </w:p>
        </w:tc>
        <w:tc>
          <w:tcPr>
            <w:tcW w:w="3464" w:type="dxa"/>
            <w:tcBorders>
              <w:top w:val="single" w:sz="4" w:space="0" w:color="auto"/>
              <w:left w:val="single" w:sz="4" w:space="0" w:color="auto"/>
              <w:bottom w:val="single" w:sz="4" w:space="0" w:color="auto"/>
              <w:right w:val="single" w:sz="4" w:space="0" w:color="auto"/>
            </w:tcBorders>
            <w:vAlign w:val="center"/>
          </w:tcPr>
          <w:p w14:paraId="79C16816" w14:textId="77777777" w:rsidR="009831F3" w:rsidRDefault="009831F3" w:rsidP="0092412C">
            <w:pPr>
              <w:pStyle w:val="Default"/>
              <w:rPr>
                <w:sz w:val="22"/>
                <w:szCs w:val="22"/>
              </w:rPr>
            </w:pPr>
            <w:r>
              <w:rPr>
                <w:sz w:val="22"/>
                <w:szCs w:val="22"/>
              </w:rPr>
              <w:t xml:space="preserve">1) ļoti labi; </w:t>
            </w:r>
          </w:p>
          <w:p w14:paraId="0BC2FBEC" w14:textId="77777777" w:rsidR="009831F3" w:rsidRDefault="009831F3" w:rsidP="0092412C">
            <w:pPr>
              <w:pStyle w:val="Default"/>
              <w:rPr>
                <w:sz w:val="22"/>
                <w:szCs w:val="22"/>
              </w:rPr>
            </w:pPr>
            <w:r>
              <w:rPr>
                <w:sz w:val="22"/>
                <w:szCs w:val="22"/>
              </w:rPr>
              <w:t xml:space="preserve">2) labi; </w:t>
            </w:r>
          </w:p>
          <w:p w14:paraId="52473DD0" w14:textId="77777777" w:rsidR="009831F3" w:rsidRDefault="009831F3" w:rsidP="0092412C">
            <w:pPr>
              <w:pStyle w:val="Default"/>
              <w:rPr>
                <w:sz w:val="22"/>
                <w:szCs w:val="22"/>
              </w:rPr>
            </w:pPr>
            <w:r>
              <w:rPr>
                <w:sz w:val="22"/>
                <w:szCs w:val="22"/>
              </w:rPr>
              <w:t xml:space="preserve">3) apmierinoši; </w:t>
            </w:r>
          </w:p>
          <w:p w14:paraId="121B2D6E" w14:textId="77777777" w:rsidR="009831F3" w:rsidRDefault="009831F3" w:rsidP="0092412C">
            <w:pPr>
              <w:pStyle w:val="Default"/>
              <w:rPr>
                <w:sz w:val="22"/>
                <w:szCs w:val="22"/>
              </w:rPr>
            </w:pPr>
            <w:r>
              <w:rPr>
                <w:sz w:val="22"/>
                <w:szCs w:val="22"/>
              </w:rPr>
              <w:t xml:space="preserve">4) neapmierinoši. </w:t>
            </w:r>
          </w:p>
          <w:p w14:paraId="37AA98C6" w14:textId="77777777" w:rsidR="009831F3" w:rsidRDefault="009831F3" w:rsidP="0092412C">
            <w:pPr>
              <w:pStyle w:val="Default"/>
              <w:rPr>
                <w:sz w:val="22"/>
                <w:szCs w:val="22"/>
              </w:rPr>
            </w:pPr>
          </w:p>
        </w:tc>
        <w:tc>
          <w:tcPr>
            <w:tcW w:w="3663" w:type="dxa"/>
            <w:tcBorders>
              <w:top w:val="single" w:sz="4" w:space="0" w:color="auto"/>
              <w:left w:val="single" w:sz="4" w:space="0" w:color="auto"/>
              <w:bottom w:val="single" w:sz="4" w:space="0" w:color="auto"/>
              <w:right w:val="single" w:sz="4" w:space="0" w:color="auto"/>
            </w:tcBorders>
            <w:vAlign w:val="center"/>
          </w:tcPr>
          <w:p w14:paraId="26B3A62B" w14:textId="77777777" w:rsidR="009831F3" w:rsidRDefault="009831F3" w:rsidP="0092412C">
            <w:pPr>
              <w:pStyle w:val="Default"/>
              <w:rPr>
                <w:sz w:val="22"/>
                <w:szCs w:val="22"/>
              </w:rPr>
            </w:pPr>
            <w:r>
              <w:rPr>
                <w:sz w:val="22"/>
                <w:szCs w:val="22"/>
              </w:rPr>
              <w:t>1) 35 %;</w:t>
            </w:r>
          </w:p>
          <w:p w14:paraId="54FA88FA" w14:textId="77777777" w:rsidR="009831F3" w:rsidRDefault="009831F3" w:rsidP="0092412C">
            <w:pPr>
              <w:pStyle w:val="Default"/>
              <w:rPr>
                <w:sz w:val="22"/>
                <w:szCs w:val="22"/>
              </w:rPr>
            </w:pPr>
            <w:r>
              <w:rPr>
                <w:sz w:val="22"/>
                <w:szCs w:val="22"/>
              </w:rPr>
              <w:t>2) 25 %;</w:t>
            </w:r>
          </w:p>
          <w:p w14:paraId="2A65B1FE" w14:textId="77777777" w:rsidR="009831F3" w:rsidRDefault="009831F3" w:rsidP="0092412C">
            <w:pPr>
              <w:pStyle w:val="Default"/>
              <w:rPr>
                <w:sz w:val="22"/>
                <w:szCs w:val="22"/>
              </w:rPr>
            </w:pPr>
            <w:r>
              <w:rPr>
                <w:sz w:val="22"/>
                <w:szCs w:val="22"/>
              </w:rPr>
              <w:t>3) 15 %;</w:t>
            </w:r>
          </w:p>
          <w:p w14:paraId="1A6A2894" w14:textId="77777777" w:rsidR="009831F3" w:rsidRDefault="009831F3" w:rsidP="0092412C">
            <w:pPr>
              <w:pStyle w:val="Default"/>
              <w:rPr>
                <w:sz w:val="22"/>
                <w:szCs w:val="22"/>
              </w:rPr>
            </w:pPr>
            <w:r>
              <w:rPr>
                <w:sz w:val="22"/>
                <w:szCs w:val="22"/>
              </w:rPr>
              <w:t>4) 0 %.</w:t>
            </w:r>
          </w:p>
          <w:p w14:paraId="75A37E4B" w14:textId="77777777" w:rsidR="009831F3" w:rsidRDefault="009831F3" w:rsidP="0092412C">
            <w:pPr>
              <w:pStyle w:val="Default"/>
              <w:rPr>
                <w:sz w:val="22"/>
                <w:szCs w:val="22"/>
              </w:rPr>
            </w:pPr>
          </w:p>
        </w:tc>
      </w:tr>
      <w:tr w:rsidR="009831F3" w14:paraId="19213D3E" w14:textId="77777777" w:rsidTr="0092412C">
        <w:trPr>
          <w:trHeight w:val="1304"/>
        </w:trPr>
        <w:tc>
          <w:tcPr>
            <w:tcW w:w="3301" w:type="dxa"/>
            <w:tcBorders>
              <w:top w:val="single" w:sz="4" w:space="0" w:color="auto"/>
              <w:left w:val="single" w:sz="4" w:space="0" w:color="auto"/>
              <w:bottom w:val="single" w:sz="4" w:space="0" w:color="auto"/>
              <w:right w:val="single" w:sz="4" w:space="0" w:color="auto"/>
            </w:tcBorders>
            <w:vAlign w:val="center"/>
          </w:tcPr>
          <w:p w14:paraId="1E612FE8" w14:textId="77777777" w:rsidR="009831F3" w:rsidRDefault="009831F3" w:rsidP="0092412C">
            <w:pPr>
              <w:pStyle w:val="Default"/>
              <w:rPr>
                <w:sz w:val="22"/>
                <w:szCs w:val="22"/>
              </w:rPr>
            </w:pPr>
            <w:r>
              <w:rPr>
                <w:sz w:val="22"/>
                <w:szCs w:val="22"/>
              </w:rPr>
              <w:t xml:space="preserve">Valdes locekļa </w:t>
            </w:r>
          </w:p>
          <w:p w14:paraId="1177A2AA" w14:textId="77777777" w:rsidR="009831F3" w:rsidRDefault="009831F3" w:rsidP="0092412C">
            <w:pPr>
              <w:pStyle w:val="Default"/>
              <w:rPr>
                <w:sz w:val="22"/>
                <w:szCs w:val="22"/>
              </w:rPr>
            </w:pPr>
            <w:r>
              <w:rPr>
                <w:sz w:val="22"/>
                <w:szCs w:val="22"/>
              </w:rPr>
              <w:t xml:space="preserve">individuālie darbības rezultāti iepriekšējā pārskata gadā </w:t>
            </w:r>
          </w:p>
        </w:tc>
        <w:tc>
          <w:tcPr>
            <w:tcW w:w="3464" w:type="dxa"/>
            <w:tcBorders>
              <w:top w:val="single" w:sz="4" w:space="0" w:color="auto"/>
              <w:left w:val="single" w:sz="4" w:space="0" w:color="auto"/>
              <w:bottom w:val="single" w:sz="4" w:space="0" w:color="auto"/>
              <w:right w:val="single" w:sz="4" w:space="0" w:color="auto"/>
            </w:tcBorders>
            <w:vAlign w:val="center"/>
          </w:tcPr>
          <w:p w14:paraId="35A7FCE5" w14:textId="77777777" w:rsidR="009831F3" w:rsidRDefault="009831F3" w:rsidP="0092412C">
            <w:pPr>
              <w:pStyle w:val="Default"/>
              <w:jc w:val="center"/>
              <w:rPr>
                <w:sz w:val="22"/>
                <w:szCs w:val="22"/>
              </w:rPr>
            </w:pPr>
            <w:r>
              <w:rPr>
                <w:sz w:val="22"/>
                <w:szCs w:val="22"/>
              </w:rPr>
              <w:t>35 %</w:t>
            </w:r>
          </w:p>
        </w:tc>
        <w:tc>
          <w:tcPr>
            <w:tcW w:w="3464" w:type="dxa"/>
            <w:tcBorders>
              <w:top w:val="single" w:sz="4" w:space="0" w:color="auto"/>
              <w:left w:val="single" w:sz="4" w:space="0" w:color="auto"/>
              <w:bottom w:val="single" w:sz="4" w:space="0" w:color="auto"/>
              <w:right w:val="single" w:sz="4" w:space="0" w:color="auto"/>
            </w:tcBorders>
            <w:vAlign w:val="center"/>
          </w:tcPr>
          <w:p w14:paraId="089DAC52" w14:textId="77777777" w:rsidR="009831F3" w:rsidRDefault="009831F3" w:rsidP="0092412C">
            <w:pPr>
              <w:pStyle w:val="Default"/>
              <w:rPr>
                <w:sz w:val="22"/>
                <w:szCs w:val="22"/>
              </w:rPr>
            </w:pPr>
            <w:r>
              <w:rPr>
                <w:sz w:val="22"/>
                <w:szCs w:val="22"/>
              </w:rPr>
              <w:t xml:space="preserve">1) ļoti labi (4,5-5 balles no 5); </w:t>
            </w:r>
          </w:p>
          <w:p w14:paraId="23E87213" w14:textId="77777777" w:rsidR="009831F3" w:rsidRDefault="009831F3" w:rsidP="0092412C">
            <w:pPr>
              <w:pStyle w:val="Default"/>
              <w:rPr>
                <w:sz w:val="22"/>
                <w:szCs w:val="22"/>
              </w:rPr>
            </w:pPr>
            <w:r>
              <w:rPr>
                <w:sz w:val="22"/>
                <w:szCs w:val="22"/>
              </w:rPr>
              <w:t xml:space="preserve">2) labi (4-4,4 balles); </w:t>
            </w:r>
          </w:p>
          <w:p w14:paraId="276D03CB" w14:textId="77777777" w:rsidR="009831F3" w:rsidRDefault="009831F3" w:rsidP="0092412C">
            <w:pPr>
              <w:pStyle w:val="Default"/>
              <w:rPr>
                <w:sz w:val="22"/>
                <w:szCs w:val="22"/>
              </w:rPr>
            </w:pPr>
            <w:r>
              <w:rPr>
                <w:sz w:val="22"/>
                <w:szCs w:val="22"/>
              </w:rPr>
              <w:t xml:space="preserve">3) apmierinoši (3-3,9 balles); </w:t>
            </w:r>
          </w:p>
          <w:p w14:paraId="1C3741C3" w14:textId="77777777" w:rsidR="009831F3" w:rsidRDefault="009831F3" w:rsidP="0092412C">
            <w:pPr>
              <w:pStyle w:val="Default"/>
              <w:rPr>
                <w:sz w:val="22"/>
                <w:szCs w:val="22"/>
              </w:rPr>
            </w:pPr>
            <w:r>
              <w:rPr>
                <w:sz w:val="22"/>
                <w:szCs w:val="22"/>
              </w:rPr>
              <w:t xml:space="preserve">4) neapmierinoši (&lt;3 balles). </w:t>
            </w:r>
          </w:p>
          <w:p w14:paraId="0EE2A677" w14:textId="77777777" w:rsidR="009831F3" w:rsidRDefault="009831F3" w:rsidP="0092412C">
            <w:pPr>
              <w:pStyle w:val="Default"/>
              <w:rPr>
                <w:sz w:val="22"/>
                <w:szCs w:val="22"/>
              </w:rPr>
            </w:pPr>
          </w:p>
        </w:tc>
        <w:tc>
          <w:tcPr>
            <w:tcW w:w="3663" w:type="dxa"/>
            <w:tcBorders>
              <w:top w:val="single" w:sz="4" w:space="0" w:color="auto"/>
              <w:left w:val="single" w:sz="4" w:space="0" w:color="auto"/>
              <w:bottom w:val="single" w:sz="4" w:space="0" w:color="auto"/>
              <w:right w:val="single" w:sz="4" w:space="0" w:color="auto"/>
            </w:tcBorders>
            <w:vAlign w:val="center"/>
          </w:tcPr>
          <w:p w14:paraId="2818E7CB" w14:textId="77777777" w:rsidR="009831F3" w:rsidRDefault="009831F3" w:rsidP="0092412C">
            <w:pPr>
              <w:pStyle w:val="Default"/>
              <w:rPr>
                <w:sz w:val="22"/>
                <w:szCs w:val="22"/>
              </w:rPr>
            </w:pPr>
            <w:r>
              <w:rPr>
                <w:sz w:val="22"/>
                <w:szCs w:val="22"/>
              </w:rPr>
              <w:t>1) 35 %;</w:t>
            </w:r>
          </w:p>
          <w:p w14:paraId="5E8111F0" w14:textId="77777777" w:rsidR="009831F3" w:rsidRDefault="009831F3" w:rsidP="0092412C">
            <w:pPr>
              <w:pStyle w:val="Default"/>
              <w:rPr>
                <w:sz w:val="22"/>
                <w:szCs w:val="22"/>
              </w:rPr>
            </w:pPr>
            <w:r>
              <w:rPr>
                <w:sz w:val="22"/>
                <w:szCs w:val="22"/>
              </w:rPr>
              <w:t>2) 25 %;</w:t>
            </w:r>
          </w:p>
          <w:p w14:paraId="189A1110" w14:textId="77777777" w:rsidR="009831F3" w:rsidRDefault="009831F3" w:rsidP="0092412C">
            <w:pPr>
              <w:pStyle w:val="Default"/>
              <w:rPr>
                <w:sz w:val="22"/>
                <w:szCs w:val="22"/>
              </w:rPr>
            </w:pPr>
            <w:r>
              <w:rPr>
                <w:sz w:val="22"/>
                <w:szCs w:val="22"/>
              </w:rPr>
              <w:t>3) 15 %;</w:t>
            </w:r>
          </w:p>
          <w:p w14:paraId="698D435D" w14:textId="77777777" w:rsidR="009831F3" w:rsidRDefault="009831F3" w:rsidP="0092412C">
            <w:pPr>
              <w:pStyle w:val="Default"/>
              <w:rPr>
                <w:sz w:val="22"/>
                <w:szCs w:val="22"/>
              </w:rPr>
            </w:pPr>
            <w:r>
              <w:rPr>
                <w:sz w:val="22"/>
                <w:szCs w:val="22"/>
              </w:rPr>
              <w:t>4) 0 %.</w:t>
            </w:r>
          </w:p>
          <w:p w14:paraId="6B5E3B99" w14:textId="77777777" w:rsidR="009831F3" w:rsidRDefault="009831F3" w:rsidP="0092412C">
            <w:pPr>
              <w:pStyle w:val="Default"/>
              <w:rPr>
                <w:sz w:val="22"/>
                <w:szCs w:val="22"/>
              </w:rPr>
            </w:pPr>
          </w:p>
        </w:tc>
      </w:tr>
    </w:tbl>
    <w:tbl>
      <w:tblPr>
        <w:tblStyle w:val="TableGrid"/>
        <w:tblpPr w:leftFromText="180" w:rightFromText="180" w:vertAnchor="page" w:horzAnchor="margin" w:tblpY="7666"/>
        <w:tblW w:w="0" w:type="auto"/>
        <w:tblLook w:val="04A0" w:firstRow="1" w:lastRow="0" w:firstColumn="1" w:lastColumn="0" w:noHBand="0" w:noVBand="1"/>
      </w:tblPr>
      <w:tblGrid>
        <w:gridCol w:w="3256"/>
        <w:gridCol w:w="3543"/>
      </w:tblGrid>
      <w:tr w:rsidR="009831F3" w14:paraId="7FB76775" w14:textId="77777777" w:rsidTr="0092412C">
        <w:trPr>
          <w:trHeight w:val="419"/>
        </w:trPr>
        <w:tc>
          <w:tcPr>
            <w:tcW w:w="6799" w:type="dxa"/>
            <w:gridSpan w:val="2"/>
            <w:vAlign w:val="center"/>
          </w:tcPr>
          <w:p w14:paraId="2B37334A" w14:textId="77777777" w:rsidR="009831F3" w:rsidRPr="00740055" w:rsidRDefault="009831F3" w:rsidP="0092412C">
            <w:pPr>
              <w:rPr>
                <w:rFonts w:ascii="Times New Roman" w:hAnsi="Times New Roman" w:cs="Times New Roman"/>
              </w:rPr>
            </w:pPr>
            <w:r w:rsidRPr="00740055">
              <w:rPr>
                <w:rFonts w:ascii="Times New Roman" w:hAnsi="Times New Roman" w:cs="Times New Roman"/>
                <w:b/>
                <w:bCs/>
              </w:rPr>
              <w:t>Prēmijas apjoms pēc kopējā kritēriju novērtējuma</w:t>
            </w:r>
          </w:p>
        </w:tc>
      </w:tr>
      <w:tr w:rsidR="009831F3" w14:paraId="003BFBC5" w14:textId="77777777" w:rsidTr="0092412C">
        <w:trPr>
          <w:trHeight w:val="1253"/>
        </w:trPr>
        <w:tc>
          <w:tcPr>
            <w:tcW w:w="3256" w:type="dxa"/>
            <w:vAlign w:val="center"/>
          </w:tcPr>
          <w:p w14:paraId="3A0901F1" w14:textId="77777777" w:rsidR="009831F3" w:rsidRPr="00740055" w:rsidRDefault="009831F3" w:rsidP="0092412C">
            <w:pPr>
              <w:rPr>
                <w:rFonts w:ascii="Times New Roman" w:hAnsi="Times New Roman" w:cs="Times New Roman"/>
              </w:rPr>
            </w:pPr>
            <w:r w:rsidRPr="00740055">
              <w:rPr>
                <w:rFonts w:ascii="Times New Roman" w:hAnsi="Times New Roman" w:cs="Times New Roman"/>
              </w:rPr>
              <w:t>izpilde 9</w:t>
            </w:r>
            <w:r>
              <w:rPr>
                <w:rFonts w:ascii="Times New Roman" w:hAnsi="Times New Roman" w:cs="Times New Roman"/>
              </w:rPr>
              <w:t>5</w:t>
            </w:r>
            <w:r w:rsidRPr="00740055">
              <w:rPr>
                <w:rFonts w:ascii="Times New Roman" w:hAnsi="Times New Roman" w:cs="Times New Roman"/>
              </w:rPr>
              <w:t xml:space="preserve"> %-100 %</w:t>
            </w:r>
          </w:p>
          <w:p w14:paraId="069C5FEF" w14:textId="77777777" w:rsidR="009831F3" w:rsidRPr="00740055" w:rsidRDefault="009831F3" w:rsidP="0092412C">
            <w:pPr>
              <w:rPr>
                <w:rFonts w:ascii="Times New Roman" w:hAnsi="Times New Roman" w:cs="Times New Roman"/>
              </w:rPr>
            </w:pPr>
            <w:r w:rsidRPr="00740055">
              <w:rPr>
                <w:rFonts w:ascii="Times New Roman" w:hAnsi="Times New Roman" w:cs="Times New Roman"/>
              </w:rPr>
              <w:t>izpilde 8</w:t>
            </w:r>
            <w:r>
              <w:rPr>
                <w:rFonts w:ascii="Times New Roman" w:hAnsi="Times New Roman" w:cs="Times New Roman"/>
              </w:rPr>
              <w:t>0</w:t>
            </w:r>
            <w:r w:rsidRPr="00740055">
              <w:rPr>
                <w:rFonts w:ascii="Times New Roman" w:hAnsi="Times New Roman" w:cs="Times New Roman"/>
              </w:rPr>
              <w:t xml:space="preserve"> % - </w:t>
            </w:r>
            <w:r>
              <w:rPr>
                <w:rFonts w:ascii="Times New Roman" w:hAnsi="Times New Roman" w:cs="Times New Roman"/>
              </w:rPr>
              <w:t>94</w:t>
            </w:r>
            <w:r w:rsidRPr="00740055">
              <w:rPr>
                <w:rFonts w:ascii="Times New Roman" w:hAnsi="Times New Roman" w:cs="Times New Roman"/>
              </w:rPr>
              <w:t xml:space="preserve"> %</w:t>
            </w:r>
          </w:p>
          <w:p w14:paraId="3818FE16" w14:textId="77777777" w:rsidR="009831F3" w:rsidRPr="00740055" w:rsidRDefault="009831F3" w:rsidP="0092412C">
            <w:pPr>
              <w:rPr>
                <w:rFonts w:ascii="Times New Roman" w:hAnsi="Times New Roman" w:cs="Times New Roman"/>
              </w:rPr>
            </w:pPr>
            <w:r w:rsidRPr="00740055">
              <w:rPr>
                <w:rFonts w:ascii="Times New Roman" w:hAnsi="Times New Roman" w:cs="Times New Roman"/>
              </w:rPr>
              <w:t xml:space="preserve">izpilde </w:t>
            </w:r>
            <w:r>
              <w:rPr>
                <w:rFonts w:ascii="Times New Roman" w:hAnsi="Times New Roman" w:cs="Times New Roman"/>
              </w:rPr>
              <w:t>60</w:t>
            </w:r>
            <w:r w:rsidRPr="00740055">
              <w:rPr>
                <w:rFonts w:ascii="Times New Roman" w:hAnsi="Times New Roman" w:cs="Times New Roman"/>
              </w:rPr>
              <w:t xml:space="preserve"> % - 79 %</w:t>
            </w:r>
          </w:p>
          <w:p w14:paraId="31D8568E" w14:textId="77777777" w:rsidR="009831F3" w:rsidRPr="00740055" w:rsidRDefault="009831F3" w:rsidP="0092412C">
            <w:pPr>
              <w:rPr>
                <w:rFonts w:ascii="Times New Roman" w:hAnsi="Times New Roman" w:cs="Times New Roman"/>
              </w:rPr>
            </w:pPr>
            <w:r w:rsidRPr="00740055">
              <w:rPr>
                <w:rFonts w:ascii="Times New Roman" w:hAnsi="Times New Roman" w:cs="Times New Roman"/>
              </w:rPr>
              <w:t xml:space="preserve">izpilde &lt; </w:t>
            </w:r>
            <w:r>
              <w:rPr>
                <w:rFonts w:ascii="Times New Roman" w:hAnsi="Times New Roman" w:cs="Times New Roman"/>
              </w:rPr>
              <w:t>6</w:t>
            </w:r>
            <w:r w:rsidRPr="00740055">
              <w:rPr>
                <w:rFonts w:ascii="Times New Roman" w:hAnsi="Times New Roman" w:cs="Times New Roman"/>
              </w:rPr>
              <w:t xml:space="preserve">0% </w:t>
            </w:r>
          </w:p>
        </w:tc>
        <w:tc>
          <w:tcPr>
            <w:tcW w:w="3543" w:type="dxa"/>
            <w:vAlign w:val="center"/>
          </w:tcPr>
          <w:p w14:paraId="537D40C7" w14:textId="77777777" w:rsidR="009831F3" w:rsidRPr="00740055" w:rsidRDefault="009831F3" w:rsidP="0092412C">
            <w:pPr>
              <w:pStyle w:val="Default"/>
              <w:ind w:left="28"/>
              <w:rPr>
                <w:sz w:val="22"/>
                <w:szCs w:val="22"/>
              </w:rPr>
            </w:pPr>
            <w:r w:rsidRPr="00740055">
              <w:rPr>
                <w:sz w:val="22"/>
                <w:szCs w:val="22"/>
              </w:rPr>
              <w:t>maksimālais prēmijas apjoms 100%</w:t>
            </w:r>
          </w:p>
          <w:p w14:paraId="072AFF2B" w14:textId="77777777" w:rsidR="009831F3" w:rsidRPr="00740055" w:rsidRDefault="009831F3" w:rsidP="0092412C">
            <w:pPr>
              <w:pStyle w:val="Default"/>
              <w:ind w:left="28"/>
              <w:rPr>
                <w:sz w:val="22"/>
                <w:szCs w:val="22"/>
              </w:rPr>
            </w:pPr>
            <w:r w:rsidRPr="00740055">
              <w:rPr>
                <w:sz w:val="22"/>
                <w:szCs w:val="22"/>
              </w:rPr>
              <w:t>80 % no maksimālā prēmijas apjoma</w:t>
            </w:r>
          </w:p>
          <w:p w14:paraId="178BC52D" w14:textId="77777777" w:rsidR="009831F3" w:rsidRPr="00740055" w:rsidRDefault="009831F3" w:rsidP="0092412C">
            <w:pPr>
              <w:pStyle w:val="Default"/>
              <w:ind w:left="28"/>
              <w:rPr>
                <w:sz w:val="22"/>
                <w:szCs w:val="22"/>
              </w:rPr>
            </w:pPr>
            <w:r w:rsidRPr="00740055">
              <w:rPr>
                <w:sz w:val="22"/>
                <w:szCs w:val="22"/>
              </w:rPr>
              <w:t>60 % no maksimālā prēmijas apjoma</w:t>
            </w:r>
          </w:p>
          <w:p w14:paraId="68181DCC" w14:textId="77777777" w:rsidR="009831F3" w:rsidRPr="00740055" w:rsidRDefault="009831F3" w:rsidP="0092412C">
            <w:pPr>
              <w:ind w:left="28"/>
              <w:rPr>
                <w:rFonts w:ascii="Times New Roman" w:hAnsi="Times New Roman" w:cs="Times New Roman"/>
              </w:rPr>
            </w:pPr>
            <w:r w:rsidRPr="00740055">
              <w:rPr>
                <w:rFonts w:ascii="Times New Roman" w:hAnsi="Times New Roman" w:cs="Times New Roman"/>
              </w:rPr>
              <w:t>prēmiju nepiešķir</w:t>
            </w:r>
          </w:p>
        </w:tc>
      </w:tr>
    </w:tbl>
    <w:p w14:paraId="1836742F" w14:textId="77777777" w:rsidR="009831F3" w:rsidRDefault="009831F3" w:rsidP="009831F3">
      <w:pPr>
        <w:pStyle w:val="ListParagraph"/>
        <w:spacing w:line="276" w:lineRule="auto"/>
        <w:ind w:left="993"/>
        <w:jc w:val="both"/>
        <w:rPr>
          <w:rFonts w:ascii="Times New Roman" w:hAnsi="Times New Roman" w:cs="Times New Roman"/>
        </w:rPr>
      </w:pPr>
    </w:p>
    <w:p w14:paraId="7C13EAB7" w14:textId="77777777" w:rsidR="009831F3" w:rsidRDefault="009831F3" w:rsidP="009831F3">
      <w:pPr>
        <w:pStyle w:val="ListParagraph"/>
        <w:spacing w:line="276" w:lineRule="auto"/>
        <w:ind w:left="993"/>
        <w:jc w:val="both"/>
        <w:rPr>
          <w:rFonts w:ascii="Times New Roman" w:hAnsi="Times New Roman" w:cs="Times New Roman"/>
        </w:rPr>
      </w:pPr>
    </w:p>
    <w:p w14:paraId="23206D2B" w14:textId="77777777" w:rsidR="009831F3" w:rsidRDefault="009831F3" w:rsidP="009831F3">
      <w:pPr>
        <w:spacing w:line="276" w:lineRule="auto"/>
        <w:jc w:val="both"/>
        <w:rPr>
          <w:rFonts w:ascii="Times New Roman" w:hAnsi="Times New Roman" w:cs="Times New Roman"/>
        </w:rPr>
      </w:pPr>
    </w:p>
    <w:p w14:paraId="2E08CBE3" w14:textId="77777777" w:rsidR="009831F3" w:rsidRDefault="009831F3" w:rsidP="009831F3">
      <w:pPr>
        <w:spacing w:line="276" w:lineRule="auto"/>
        <w:jc w:val="both"/>
        <w:rPr>
          <w:rFonts w:ascii="Times New Roman" w:hAnsi="Times New Roman" w:cs="Times New Roman"/>
        </w:rPr>
      </w:pPr>
    </w:p>
    <w:p w14:paraId="22827EF6" w14:textId="77777777" w:rsidR="009831F3" w:rsidRDefault="009831F3" w:rsidP="009831F3">
      <w:pPr>
        <w:spacing w:line="276" w:lineRule="auto"/>
        <w:jc w:val="both"/>
        <w:rPr>
          <w:rFonts w:ascii="Times New Roman" w:hAnsi="Times New Roman" w:cs="Times New Roman"/>
        </w:rPr>
      </w:pPr>
    </w:p>
    <w:p w14:paraId="70B9710A" w14:textId="77777777" w:rsidR="009831F3" w:rsidRPr="00684F31" w:rsidRDefault="009831F3" w:rsidP="00684F31">
      <w:pPr>
        <w:spacing w:line="276" w:lineRule="auto"/>
        <w:jc w:val="both"/>
        <w:rPr>
          <w:rFonts w:ascii="Times New Roman" w:hAnsi="Times New Roman" w:cs="Times New Roman"/>
        </w:rPr>
      </w:pPr>
    </w:p>
    <w:sectPr w:rsidR="009831F3" w:rsidRPr="00684F31" w:rsidSect="00920A69">
      <w:headerReference w:type="first" r:id="rId20"/>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8594" w14:textId="77777777" w:rsidR="00FF3967" w:rsidRDefault="00FF3967" w:rsidP="00CD5BB5">
      <w:pPr>
        <w:spacing w:after="0" w:line="240" w:lineRule="auto"/>
      </w:pPr>
      <w:r>
        <w:separator/>
      </w:r>
    </w:p>
  </w:endnote>
  <w:endnote w:type="continuationSeparator" w:id="0">
    <w:p w14:paraId="181A53B4" w14:textId="77777777" w:rsidR="00FF3967" w:rsidRDefault="00FF3967" w:rsidP="00CD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80E3" w14:textId="77777777" w:rsidR="00FF3967" w:rsidRDefault="00FF3967" w:rsidP="00CD5BB5">
      <w:pPr>
        <w:spacing w:after="0" w:line="240" w:lineRule="auto"/>
      </w:pPr>
      <w:r>
        <w:separator/>
      </w:r>
    </w:p>
  </w:footnote>
  <w:footnote w:type="continuationSeparator" w:id="0">
    <w:p w14:paraId="197C3C3E" w14:textId="77777777" w:rsidR="00FF3967" w:rsidRDefault="00FF3967" w:rsidP="00CD5BB5">
      <w:pPr>
        <w:spacing w:after="0" w:line="240" w:lineRule="auto"/>
      </w:pPr>
      <w:r>
        <w:continuationSeparator/>
      </w:r>
    </w:p>
  </w:footnote>
  <w:footnote w:id="1">
    <w:p w14:paraId="05488C96" w14:textId="28945B8B" w:rsidR="00CD5BB5" w:rsidRPr="006F2D83" w:rsidRDefault="00CD5BB5">
      <w:pPr>
        <w:pStyle w:val="FootnoteText"/>
        <w:rPr>
          <w:sz w:val="18"/>
          <w:szCs w:val="18"/>
        </w:rPr>
      </w:pPr>
      <w:r w:rsidRPr="006F2D83">
        <w:rPr>
          <w:rStyle w:val="FootnoteReference"/>
          <w:sz w:val="18"/>
          <w:szCs w:val="18"/>
        </w:rPr>
        <w:footnoteRef/>
      </w:r>
      <w:r w:rsidRPr="006F2D83">
        <w:rPr>
          <w:sz w:val="18"/>
          <w:szCs w:val="18"/>
        </w:rPr>
        <w:t xml:space="preserve"> </w:t>
      </w:r>
      <w:r w:rsidRPr="006F2D83">
        <w:rPr>
          <w:rFonts w:ascii="Times New Roman" w:hAnsi="Times New Roman" w:cs="Times New Roman"/>
          <w:sz w:val="18"/>
          <w:szCs w:val="18"/>
        </w:rPr>
        <w:t>Publiskas personas kapitāla daļu un kapitālsabiedrību pārvaldības likums, 25.06.2025. Ministru kabineta noteikumi Nr.392 “Valdes un padomes locekļu skaita un atalgojuma noteikšanas kārtība publiskas personas kapitāla daļu pārvaldīšanas gadījumā”.</w:t>
      </w:r>
    </w:p>
  </w:footnote>
  <w:footnote w:id="2">
    <w:p w14:paraId="316EB40E" w14:textId="77777777" w:rsidR="00BB544C" w:rsidRPr="006F2D83" w:rsidRDefault="00BB544C" w:rsidP="00BB544C">
      <w:pPr>
        <w:pStyle w:val="FootnoteText"/>
        <w:rPr>
          <w:rFonts w:ascii="Times New Roman" w:hAnsi="Times New Roman" w:cs="Times New Roman"/>
          <w:sz w:val="18"/>
          <w:szCs w:val="18"/>
        </w:rPr>
      </w:pPr>
      <w:r w:rsidRPr="006F2D83">
        <w:rPr>
          <w:rStyle w:val="FootnoteReference"/>
          <w:sz w:val="18"/>
          <w:szCs w:val="18"/>
        </w:rPr>
        <w:footnoteRef/>
      </w:r>
      <w:r w:rsidRPr="006F2D83">
        <w:rPr>
          <w:sz w:val="18"/>
          <w:szCs w:val="18"/>
        </w:rPr>
        <w:t xml:space="preserve"> </w:t>
      </w:r>
      <w:r w:rsidRPr="006F2D83">
        <w:rPr>
          <w:rFonts w:ascii="Times New Roman" w:hAnsi="Times New Roman" w:cs="Times New Roman"/>
          <w:sz w:val="18"/>
          <w:szCs w:val="18"/>
        </w:rPr>
        <w:t xml:space="preserve">Pārresoru koordinācijas centra 18.09.2020. “Vadlīnijas publiskas personas kapitālsabiedrību un publiski privāto kapitālsabiedrību valdes un padomes locekļu atlīdzības noteikšanai”(konsolidētā versija). </w:t>
      </w:r>
    </w:p>
    <w:p w14:paraId="497F393B" w14:textId="7EFE4A8F" w:rsidR="00BB544C" w:rsidRDefault="00BB54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8936" w14:textId="0D33273A" w:rsidR="00920A69" w:rsidRPr="00920A69" w:rsidRDefault="00920A69" w:rsidP="00920A69">
    <w:pPr>
      <w:pStyle w:val="Header"/>
      <w:jc w:val="right"/>
      <w:rPr>
        <w:rFonts w:ascii="Times New Roman" w:hAnsi="Times New Roman" w:cs="Times New Roman"/>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2DFA" w14:textId="59F01778" w:rsidR="000510CA" w:rsidRDefault="000510CA" w:rsidP="000510CA">
    <w:pPr>
      <w:pStyle w:val="Header"/>
      <w:jc w:val="right"/>
    </w:pPr>
    <w:r>
      <w:rPr>
        <w:rFonts w:ascii="Times New Roman" w:hAnsi="Times New Roman" w:cs="Times New Roman"/>
        <w:i/>
        <w:iCs/>
      </w:rPr>
      <w:t>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00E4"/>
    <w:multiLevelType w:val="hybridMultilevel"/>
    <w:tmpl w:val="B64C2A8C"/>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 w15:restartNumberingAfterBreak="0">
    <w:nsid w:val="2AAE211A"/>
    <w:multiLevelType w:val="hybridMultilevel"/>
    <w:tmpl w:val="0B4EF6E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2885589"/>
    <w:multiLevelType w:val="multilevel"/>
    <w:tmpl w:val="3CCCCB8E"/>
    <w:lvl w:ilvl="0">
      <w:start w:val="3"/>
      <w:numFmt w:val="decimal"/>
      <w:lvlText w:val="%1."/>
      <w:lvlJc w:val="left"/>
      <w:pPr>
        <w:ind w:left="360" w:hanging="360"/>
      </w:pPr>
      <w:rPr>
        <w:rFonts w:hint="default"/>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 w15:restartNumberingAfterBreak="0">
    <w:nsid w:val="352E5B1B"/>
    <w:multiLevelType w:val="hybridMultilevel"/>
    <w:tmpl w:val="B7EE97DC"/>
    <w:lvl w:ilvl="0" w:tplc="54D62D90">
      <w:start w:val="4"/>
      <w:numFmt w:val="decimal"/>
      <w:lvlText w:val="%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39197E"/>
    <w:multiLevelType w:val="hybridMultilevel"/>
    <w:tmpl w:val="25EC3B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F0A0774"/>
    <w:multiLevelType w:val="multilevel"/>
    <w:tmpl w:val="BB46DC0E"/>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506C0EDE"/>
    <w:multiLevelType w:val="multilevel"/>
    <w:tmpl w:val="2AB6D66E"/>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8504E7C"/>
    <w:multiLevelType w:val="multilevel"/>
    <w:tmpl w:val="525288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D1B318F"/>
    <w:multiLevelType w:val="hybridMultilevel"/>
    <w:tmpl w:val="D9FE7682"/>
    <w:lvl w:ilvl="0" w:tplc="E72062CC">
      <w:start w:val="4"/>
      <w:numFmt w:val="decimal"/>
      <w:lvlText w:val="%1.1.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F6664B3"/>
    <w:multiLevelType w:val="multilevel"/>
    <w:tmpl w:val="34620BE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89175E"/>
    <w:multiLevelType w:val="multilevel"/>
    <w:tmpl w:val="56CA04D8"/>
    <w:lvl w:ilvl="0">
      <w:start w:val="1"/>
      <w:numFmt w:val="bullet"/>
      <w:lvlText w:val=""/>
      <w:lvlJc w:val="left"/>
      <w:pPr>
        <w:ind w:left="1713" w:hanging="360"/>
      </w:pPr>
      <w:rPr>
        <w:rFonts w:ascii="Symbol" w:hAnsi="Symbol" w:hint="default"/>
      </w:rPr>
    </w:lvl>
    <w:lvl w:ilvl="1">
      <w:start w:val="1"/>
      <w:numFmt w:val="decimal"/>
      <w:isLgl/>
      <w:lvlText w:val="%1.%2."/>
      <w:lvlJc w:val="left"/>
      <w:pPr>
        <w:ind w:left="2346"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1" w15:restartNumberingAfterBreak="0">
    <w:nsid w:val="7E7802A4"/>
    <w:multiLevelType w:val="hybridMultilevel"/>
    <w:tmpl w:val="E26E29AE"/>
    <w:lvl w:ilvl="0" w:tplc="12244D4C">
      <w:start w:val="1"/>
      <w:numFmt w:val="decimal"/>
      <w:lvlText w:val="%1.1. "/>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2145000064">
    <w:abstractNumId w:val="9"/>
  </w:num>
  <w:num w:numId="2" w16cid:durableId="456604393">
    <w:abstractNumId w:val="1"/>
  </w:num>
  <w:num w:numId="3" w16cid:durableId="73824981">
    <w:abstractNumId w:val="11"/>
  </w:num>
  <w:num w:numId="4" w16cid:durableId="1102532758">
    <w:abstractNumId w:val="8"/>
  </w:num>
  <w:num w:numId="5" w16cid:durableId="458574493">
    <w:abstractNumId w:val="3"/>
  </w:num>
  <w:num w:numId="6" w16cid:durableId="1358967681">
    <w:abstractNumId w:val="2"/>
  </w:num>
  <w:num w:numId="7" w16cid:durableId="1730958211">
    <w:abstractNumId w:val="7"/>
  </w:num>
  <w:num w:numId="8" w16cid:durableId="1568807780">
    <w:abstractNumId w:val="6"/>
  </w:num>
  <w:num w:numId="9" w16cid:durableId="1054695468">
    <w:abstractNumId w:val="4"/>
  </w:num>
  <w:num w:numId="10" w16cid:durableId="1480611182">
    <w:abstractNumId w:val="5"/>
  </w:num>
  <w:num w:numId="11" w16cid:durableId="1941527565">
    <w:abstractNumId w:val="0"/>
  </w:num>
  <w:num w:numId="12" w16cid:durableId="7649587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DA"/>
    <w:rsid w:val="000159BC"/>
    <w:rsid w:val="000510CA"/>
    <w:rsid w:val="0010210F"/>
    <w:rsid w:val="00105962"/>
    <w:rsid w:val="001A6DDA"/>
    <w:rsid w:val="00226034"/>
    <w:rsid w:val="003364C1"/>
    <w:rsid w:val="00391881"/>
    <w:rsid w:val="00416EB6"/>
    <w:rsid w:val="004447E0"/>
    <w:rsid w:val="00651A7E"/>
    <w:rsid w:val="00684F31"/>
    <w:rsid w:val="006E3810"/>
    <w:rsid w:val="006F2D83"/>
    <w:rsid w:val="006F3FED"/>
    <w:rsid w:val="00700FA3"/>
    <w:rsid w:val="008A362C"/>
    <w:rsid w:val="008E101A"/>
    <w:rsid w:val="008F2073"/>
    <w:rsid w:val="00915428"/>
    <w:rsid w:val="00920A69"/>
    <w:rsid w:val="0096712B"/>
    <w:rsid w:val="00977E65"/>
    <w:rsid w:val="009831F3"/>
    <w:rsid w:val="009962EA"/>
    <w:rsid w:val="00A341C5"/>
    <w:rsid w:val="00A5596B"/>
    <w:rsid w:val="00AD0FEA"/>
    <w:rsid w:val="00AF0E5B"/>
    <w:rsid w:val="00B34504"/>
    <w:rsid w:val="00B9605E"/>
    <w:rsid w:val="00BB544C"/>
    <w:rsid w:val="00C804A7"/>
    <w:rsid w:val="00CA4DDB"/>
    <w:rsid w:val="00CA7282"/>
    <w:rsid w:val="00CD5BB5"/>
    <w:rsid w:val="00CE0117"/>
    <w:rsid w:val="00DB70A9"/>
    <w:rsid w:val="00DE687A"/>
    <w:rsid w:val="00DE78F7"/>
    <w:rsid w:val="00E2429B"/>
    <w:rsid w:val="00E55ADA"/>
    <w:rsid w:val="00E7504B"/>
    <w:rsid w:val="00EE2BB5"/>
    <w:rsid w:val="00F94732"/>
    <w:rsid w:val="00FA4FF8"/>
    <w:rsid w:val="00FC399B"/>
    <w:rsid w:val="00FF39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3CC56"/>
  <w15:chartTrackingRefBased/>
  <w15:docId w15:val="{EFB8C6C7-C067-42C4-B3DF-C2877F20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ADA"/>
    <w:pPr>
      <w:keepNext/>
      <w:keepLines/>
      <w:spacing w:before="360" w:after="80"/>
      <w:outlineLvl w:val="0"/>
    </w:pPr>
    <w:rPr>
      <w:rFonts w:asciiTheme="majorHAnsi" w:eastAsiaTheme="majorEastAsia" w:hAnsiTheme="majorHAnsi" w:cstheme="majorBidi"/>
      <w:color w:val="729928" w:themeColor="accent1" w:themeShade="BF"/>
      <w:sz w:val="40"/>
      <w:szCs w:val="40"/>
    </w:rPr>
  </w:style>
  <w:style w:type="paragraph" w:styleId="Heading2">
    <w:name w:val="heading 2"/>
    <w:basedOn w:val="Normal"/>
    <w:next w:val="Normal"/>
    <w:link w:val="Heading2Char"/>
    <w:uiPriority w:val="9"/>
    <w:semiHidden/>
    <w:unhideWhenUsed/>
    <w:qFormat/>
    <w:rsid w:val="00E55ADA"/>
    <w:pPr>
      <w:keepNext/>
      <w:keepLines/>
      <w:spacing w:before="160" w:after="80"/>
      <w:outlineLvl w:val="1"/>
    </w:pPr>
    <w:rPr>
      <w:rFonts w:asciiTheme="majorHAnsi" w:eastAsiaTheme="majorEastAsia" w:hAnsiTheme="majorHAnsi" w:cstheme="majorBidi"/>
      <w:color w:val="729928" w:themeColor="accent1" w:themeShade="BF"/>
      <w:sz w:val="32"/>
      <w:szCs w:val="32"/>
    </w:rPr>
  </w:style>
  <w:style w:type="paragraph" w:styleId="Heading3">
    <w:name w:val="heading 3"/>
    <w:basedOn w:val="Normal"/>
    <w:next w:val="Normal"/>
    <w:link w:val="Heading3Char"/>
    <w:uiPriority w:val="9"/>
    <w:semiHidden/>
    <w:unhideWhenUsed/>
    <w:qFormat/>
    <w:rsid w:val="00E55ADA"/>
    <w:pPr>
      <w:keepNext/>
      <w:keepLines/>
      <w:spacing w:before="160" w:after="80"/>
      <w:outlineLvl w:val="2"/>
    </w:pPr>
    <w:rPr>
      <w:rFonts w:eastAsiaTheme="majorEastAsia" w:cstheme="majorBidi"/>
      <w:color w:val="729928" w:themeColor="accent1" w:themeShade="BF"/>
      <w:sz w:val="28"/>
      <w:szCs w:val="28"/>
    </w:rPr>
  </w:style>
  <w:style w:type="paragraph" w:styleId="Heading4">
    <w:name w:val="heading 4"/>
    <w:basedOn w:val="Normal"/>
    <w:next w:val="Normal"/>
    <w:link w:val="Heading4Char"/>
    <w:uiPriority w:val="9"/>
    <w:semiHidden/>
    <w:unhideWhenUsed/>
    <w:qFormat/>
    <w:rsid w:val="00E55ADA"/>
    <w:pPr>
      <w:keepNext/>
      <w:keepLines/>
      <w:spacing w:before="80" w:after="40"/>
      <w:outlineLvl w:val="3"/>
    </w:pPr>
    <w:rPr>
      <w:rFonts w:eastAsiaTheme="majorEastAsia" w:cstheme="majorBidi"/>
      <w:i/>
      <w:iCs/>
      <w:color w:val="729928" w:themeColor="accent1" w:themeShade="BF"/>
    </w:rPr>
  </w:style>
  <w:style w:type="paragraph" w:styleId="Heading5">
    <w:name w:val="heading 5"/>
    <w:basedOn w:val="Normal"/>
    <w:next w:val="Normal"/>
    <w:link w:val="Heading5Char"/>
    <w:uiPriority w:val="9"/>
    <w:semiHidden/>
    <w:unhideWhenUsed/>
    <w:qFormat/>
    <w:rsid w:val="00E55ADA"/>
    <w:pPr>
      <w:keepNext/>
      <w:keepLines/>
      <w:spacing w:before="80" w:after="40"/>
      <w:outlineLvl w:val="4"/>
    </w:pPr>
    <w:rPr>
      <w:rFonts w:eastAsiaTheme="majorEastAsia" w:cstheme="majorBidi"/>
      <w:color w:val="729928" w:themeColor="accent1" w:themeShade="BF"/>
    </w:rPr>
  </w:style>
  <w:style w:type="paragraph" w:styleId="Heading6">
    <w:name w:val="heading 6"/>
    <w:basedOn w:val="Normal"/>
    <w:next w:val="Normal"/>
    <w:link w:val="Heading6Char"/>
    <w:uiPriority w:val="9"/>
    <w:semiHidden/>
    <w:unhideWhenUsed/>
    <w:qFormat/>
    <w:rsid w:val="00E55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ADA"/>
    <w:rPr>
      <w:rFonts w:asciiTheme="majorHAnsi" w:eastAsiaTheme="majorEastAsia" w:hAnsiTheme="majorHAnsi" w:cstheme="majorBidi"/>
      <w:color w:val="729928" w:themeColor="accent1" w:themeShade="BF"/>
      <w:sz w:val="40"/>
      <w:szCs w:val="40"/>
    </w:rPr>
  </w:style>
  <w:style w:type="character" w:customStyle="1" w:styleId="Heading2Char">
    <w:name w:val="Heading 2 Char"/>
    <w:basedOn w:val="DefaultParagraphFont"/>
    <w:link w:val="Heading2"/>
    <w:uiPriority w:val="9"/>
    <w:semiHidden/>
    <w:rsid w:val="00E55ADA"/>
    <w:rPr>
      <w:rFonts w:asciiTheme="majorHAnsi" w:eastAsiaTheme="majorEastAsia" w:hAnsiTheme="majorHAnsi" w:cstheme="majorBidi"/>
      <w:color w:val="729928" w:themeColor="accent1" w:themeShade="BF"/>
      <w:sz w:val="32"/>
      <w:szCs w:val="32"/>
    </w:rPr>
  </w:style>
  <w:style w:type="character" w:customStyle="1" w:styleId="Heading3Char">
    <w:name w:val="Heading 3 Char"/>
    <w:basedOn w:val="DefaultParagraphFont"/>
    <w:link w:val="Heading3"/>
    <w:uiPriority w:val="9"/>
    <w:semiHidden/>
    <w:rsid w:val="00E55ADA"/>
    <w:rPr>
      <w:rFonts w:eastAsiaTheme="majorEastAsia" w:cstheme="majorBidi"/>
      <w:color w:val="729928" w:themeColor="accent1" w:themeShade="BF"/>
      <w:sz w:val="28"/>
      <w:szCs w:val="28"/>
    </w:rPr>
  </w:style>
  <w:style w:type="character" w:customStyle="1" w:styleId="Heading4Char">
    <w:name w:val="Heading 4 Char"/>
    <w:basedOn w:val="DefaultParagraphFont"/>
    <w:link w:val="Heading4"/>
    <w:uiPriority w:val="9"/>
    <w:semiHidden/>
    <w:rsid w:val="00E55ADA"/>
    <w:rPr>
      <w:rFonts w:eastAsiaTheme="majorEastAsia" w:cstheme="majorBidi"/>
      <w:i/>
      <w:iCs/>
      <w:color w:val="729928" w:themeColor="accent1" w:themeShade="BF"/>
    </w:rPr>
  </w:style>
  <w:style w:type="character" w:customStyle="1" w:styleId="Heading5Char">
    <w:name w:val="Heading 5 Char"/>
    <w:basedOn w:val="DefaultParagraphFont"/>
    <w:link w:val="Heading5"/>
    <w:uiPriority w:val="9"/>
    <w:semiHidden/>
    <w:rsid w:val="00E55ADA"/>
    <w:rPr>
      <w:rFonts w:eastAsiaTheme="majorEastAsia" w:cstheme="majorBidi"/>
      <w:color w:val="729928" w:themeColor="accent1" w:themeShade="BF"/>
    </w:rPr>
  </w:style>
  <w:style w:type="character" w:customStyle="1" w:styleId="Heading6Char">
    <w:name w:val="Heading 6 Char"/>
    <w:basedOn w:val="DefaultParagraphFont"/>
    <w:link w:val="Heading6"/>
    <w:uiPriority w:val="9"/>
    <w:semiHidden/>
    <w:rsid w:val="00E55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ADA"/>
    <w:rPr>
      <w:rFonts w:eastAsiaTheme="majorEastAsia" w:cstheme="majorBidi"/>
      <w:color w:val="272727" w:themeColor="text1" w:themeTint="D8"/>
    </w:rPr>
  </w:style>
  <w:style w:type="paragraph" w:styleId="Title">
    <w:name w:val="Title"/>
    <w:basedOn w:val="Normal"/>
    <w:next w:val="Normal"/>
    <w:link w:val="TitleChar"/>
    <w:uiPriority w:val="10"/>
    <w:qFormat/>
    <w:rsid w:val="00E55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ADA"/>
    <w:pPr>
      <w:spacing w:before="160"/>
      <w:jc w:val="center"/>
    </w:pPr>
    <w:rPr>
      <w:i/>
      <w:iCs/>
      <w:color w:val="404040" w:themeColor="text1" w:themeTint="BF"/>
    </w:rPr>
  </w:style>
  <w:style w:type="character" w:customStyle="1" w:styleId="QuoteChar">
    <w:name w:val="Quote Char"/>
    <w:basedOn w:val="DefaultParagraphFont"/>
    <w:link w:val="Quote"/>
    <w:uiPriority w:val="29"/>
    <w:rsid w:val="00E55ADA"/>
    <w:rPr>
      <w:i/>
      <w:iCs/>
      <w:color w:val="404040" w:themeColor="text1" w:themeTint="BF"/>
    </w:rPr>
  </w:style>
  <w:style w:type="paragraph" w:styleId="ListParagraph">
    <w:name w:val="List Paragraph"/>
    <w:basedOn w:val="Normal"/>
    <w:uiPriority w:val="34"/>
    <w:qFormat/>
    <w:rsid w:val="00E55ADA"/>
    <w:pPr>
      <w:ind w:left="720"/>
      <w:contextualSpacing/>
    </w:pPr>
  </w:style>
  <w:style w:type="character" w:styleId="IntenseEmphasis">
    <w:name w:val="Intense Emphasis"/>
    <w:basedOn w:val="DefaultParagraphFont"/>
    <w:uiPriority w:val="21"/>
    <w:qFormat/>
    <w:rsid w:val="00E55ADA"/>
    <w:rPr>
      <w:i/>
      <w:iCs/>
      <w:color w:val="729928" w:themeColor="accent1" w:themeShade="BF"/>
    </w:rPr>
  </w:style>
  <w:style w:type="paragraph" w:styleId="IntenseQuote">
    <w:name w:val="Intense Quote"/>
    <w:basedOn w:val="Normal"/>
    <w:next w:val="Normal"/>
    <w:link w:val="IntenseQuoteChar"/>
    <w:uiPriority w:val="30"/>
    <w:qFormat/>
    <w:rsid w:val="00E55ADA"/>
    <w:pPr>
      <w:pBdr>
        <w:top w:val="single" w:sz="4" w:space="10" w:color="729928" w:themeColor="accent1" w:themeShade="BF"/>
        <w:bottom w:val="single" w:sz="4" w:space="10" w:color="729928" w:themeColor="accent1" w:themeShade="BF"/>
      </w:pBdr>
      <w:spacing w:before="360" w:after="360"/>
      <w:ind w:left="864" w:right="864"/>
      <w:jc w:val="center"/>
    </w:pPr>
    <w:rPr>
      <w:i/>
      <w:iCs/>
      <w:color w:val="729928" w:themeColor="accent1" w:themeShade="BF"/>
    </w:rPr>
  </w:style>
  <w:style w:type="character" w:customStyle="1" w:styleId="IntenseQuoteChar">
    <w:name w:val="Intense Quote Char"/>
    <w:basedOn w:val="DefaultParagraphFont"/>
    <w:link w:val="IntenseQuote"/>
    <w:uiPriority w:val="30"/>
    <w:rsid w:val="00E55ADA"/>
    <w:rPr>
      <w:i/>
      <w:iCs/>
      <w:color w:val="729928" w:themeColor="accent1" w:themeShade="BF"/>
    </w:rPr>
  </w:style>
  <w:style w:type="character" w:styleId="IntenseReference">
    <w:name w:val="Intense Reference"/>
    <w:basedOn w:val="DefaultParagraphFont"/>
    <w:uiPriority w:val="32"/>
    <w:qFormat/>
    <w:rsid w:val="00E55ADA"/>
    <w:rPr>
      <w:b/>
      <w:bCs/>
      <w:smallCaps/>
      <w:color w:val="729928" w:themeColor="accent1" w:themeShade="BF"/>
      <w:spacing w:val="5"/>
    </w:rPr>
  </w:style>
  <w:style w:type="paragraph" w:customStyle="1" w:styleId="Default">
    <w:name w:val="Default"/>
    <w:rsid w:val="00E55ADA"/>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01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B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5BB5"/>
  </w:style>
  <w:style w:type="paragraph" w:styleId="Footer">
    <w:name w:val="footer"/>
    <w:basedOn w:val="Normal"/>
    <w:link w:val="FooterChar"/>
    <w:uiPriority w:val="99"/>
    <w:unhideWhenUsed/>
    <w:rsid w:val="00CD5B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5BB5"/>
  </w:style>
  <w:style w:type="paragraph" w:styleId="FootnoteText">
    <w:name w:val="footnote text"/>
    <w:basedOn w:val="Normal"/>
    <w:link w:val="FootnoteTextChar"/>
    <w:uiPriority w:val="99"/>
    <w:semiHidden/>
    <w:unhideWhenUsed/>
    <w:rsid w:val="00CD5B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BB5"/>
    <w:rPr>
      <w:sz w:val="20"/>
      <w:szCs w:val="20"/>
    </w:rPr>
  </w:style>
  <w:style w:type="character" w:styleId="FootnoteReference">
    <w:name w:val="footnote reference"/>
    <w:basedOn w:val="DefaultParagraphFont"/>
    <w:uiPriority w:val="99"/>
    <w:semiHidden/>
    <w:unhideWhenUsed/>
    <w:rsid w:val="00CD5BB5"/>
    <w:rPr>
      <w:vertAlign w:val="superscript"/>
    </w:rPr>
  </w:style>
  <w:style w:type="character" w:styleId="Hyperlink">
    <w:name w:val="Hyperlink"/>
    <w:basedOn w:val="DefaultParagraphFont"/>
    <w:uiPriority w:val="99"/>
    <w:unhideWhenUsed/>
    <w:rsid w:val="00DB70A9"/>
    <w:rPr>
      <w:color w:val="EE7B08" w:themeColor="hyperlink"/>
      <w:u w:val="single"/>
    </w:rPr>
  </w:style>
  <w:style w:type="character" w:styleId="UnresolvedMention">
    <w:name w:val="Unresolved Mention"/>
    <w:basedOn w:val="DefaultParagraphFont"/>
    <w:uiPriority w:val="99"/>
    <w:semiHidden/>
    <w:unhideWhenUsed/>
    <w:rsid w:val="00DB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QuickStyle" Target="diagrams/quickStyle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udits\Desktop\Visu%20kapit&#257;lsabiedr&#299;bu%20publiskais%20p&#257;rskats%20info\1_Visu%20kapit&#257;l.%20fin.%20rez._apr&#275;&#311;ini_20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463355542095697"/>
          <c:y val="0.11286703796171819"/>
          <c:w val="0.2133437000805779"/>
          <c:h val="0.54510294011413707"/>
        </c:manualLayout>
      </c:layout>
      <c:doughnutChart>
        <c:varyColors val="1"/>
        <c:ser>
          <c:idx val="0"/>
          <c:order val="0"/>
          <c:dPt>
            <c:idx val="0"/>
            <c:bubble3D val="0"/>
            <c:spPr>
              <a:solidFill>
                <a:schemeClr val="accent2">
                  <a:lumMod val="50000"/>
                </a:schemeClr>
              </a:solidFill>
              <a:ln w="19050">
                <a:solidFill>
                  <a:schemeClr val="lt1"/>
                </a:solidFill>
              </a:ln>
              <a:effectLst/>
            </c:spPr>
            <c:extLst>
              <c:ext xmlns:c16="http://schemas.microsoft.com/office/drawing/2014/chart" uri="{C3380CC4-5D6E-409C-BE32-E72D297353CC}">
                <c16:uniqueId val="{00000001-9D66-4C59-8D41-95B0F014D6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66-4C59-8D41-95B0F014D69D}"/>
              </c:ext>
            </c:extLst>
          </c:dPt>
          <c:dPt>
            <c:idx val="2"/>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5-9D66-4C59-8D41-95B0F014D69D}"/>
              </c:ext>
            </c:extLst>
          </c:dPt>
          <c:dLbls>
            <c:dLbl>
              <c:idx val="0"/>
              <c:layout>
                <c:manualLayout>
                  <c:x val="-9.7381067923169636E-3"/>
                  <c:y val="2.2172535036893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66-4C59-8D41-95B0F014D69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Lapa1!$C$3:$C$5</c:f>
              <c:strCache>
                <c:ptCount val="3"/>
                <c:pt idx="0">
                  <c:v>Sabiedrības darbības rezultāti iepriekšējā pārskata gadā (budžeta izpilde)</c:v>
                </c:pt>
                <c:pt idx="1">
                  <c:v>Sabiedrības vidēja termiņa darbības stratēģijas finanšu un nefinanšu mērķu izpilde</c:v>
                </c:pt>
                <c:pt idx="2">
                  <c:v>Sabiedrības valdes darbības rezultāti iepriekšējā gadā </c:v>
                </c:pt>
              </c:strCache>
            </c:strRef>
          </c:cat>
          <c:val>
            <c:numRef>
              <c:f>Lapa1!$D$3:$D$5</c:f>
              <c:numCache>
                <c:formatCode>0%</c:formatCode>
                <c:ptCount val="3"/>
                <c:pt idx="0">
                  <c:v>0.3</c:v>
                </c:pt>
                <c:pt idx="1">
                  <c:v>0.35</c:v>
                </c:pt>
                <c:pt idx="2">
                  <c:v>0.35</c:v>
                </c:pt>
              </c:numCache>
            </c:numRef>
          </c:val>
          <c:extLst>
            <c:ext xmlns:c16="http://schemas.microsoft.com/office/drawing/2014/chart" uri="{C3380CC4-5D6E-409C-BE32-E72D297353CC}">
              <c16:uniqueId val="{00000006-9D66-4C59-8D41-95B0F014D69D}"/>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C9FEE2-5E65-4F60-A91A-70604152879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lv-LV"/>
        </a:p>
      </dgm:t>
    </dgm:pt>
    <dgm:pt modelId="{5D58A8A2-B5FC-451C-84CE-3F7C98811216}">
      <dgm:prSet phldrT="[Teksts]" custT="1"/>
      <dgm:spPr>
        <a:solidFill>
          <a:schemeClr val="accent2"/>
        </a:solidFill>
        <a:ln>
          <a:solidFill>
            <a:schemeClr val="bg1"/>
          </a:solidFill>
        </a:ln>
      </dgm:spPr>
      <dgm:t>
        <a:bodyPr/>
        <a:lstStyle/>
        <a:p>
          <a:r>
            <a:rPr lang="lv-LV" sz="1100" b="1">
              <a:latin typeface="Times New Roman" panose="02020603050405020304" pitchFamily="18" charset="0"/>
              <a:cs typeface="Times New Roman" panose="02020603050405020304" pitchFamily="18" charset="0"/>
            </a:rPr>
            <a:t>Fiksētā daļa</a:t>
          </a:r>
        </a:p>
      </dgm:t>
    </dgm:pt>
    <dgm:pt modelId="{CBD86065-4960-4F38-8923-BF065298BA1F}" type="parTrans" cxnId="{9062F597-C063-4439-8C8D-ED0F0601A93C}">
      <dgm:prSet/>
      <dgm:spPr/>
      <dgm:t>
        <a:bodyPr/>
        <a:lstStyle/>
        <a:p>
          <a:endParaRPr lang="lv-LV" sz="1200"/>
        </a:p>
      </dgm:t>
    </dgm:pt>
    <dgm:pt modelId="{BFCA813F-157C-4993-82FA-299D784A35EA}" type="sibTrans" cxnId="{9062F597-C063-4439-8C8D-ED0F0601A93C}">
      <dgm:prSet/>
      <dgm:spPr/>
      <dgm:t>
        <a:bodyPr/>
        <a:lstStyle/>
        <a:p>
          <a:endParaRPr lang="lv-LV" sz="1200"/>
        </a:p>
      </dgm:t>
    </dgm:pt>
    <dgm:pt modelId="{FB524AD6-D054-475B-B23E-A9DD8F07F66A}">
      <dgm:prSet phldrT="[Teksts]" custT="1"/>
      <dgm:spPr>
        <a:solidFill>
          <a:schemeClr val="accent2">
            <a:lumMod val="20000"/>
            <a:lumOff val="80000"/>
            <a:alpha val="90000"/>
          </a:schemeClr>
        </a:solidFill>
        <a:ln>
          <a:solidFill>
            <a:schemeClr val="bg1">
              <a:alpha val="90000"/>
            </a:schemeClr>
          </a:solidFill>
        </a:ln>
      </dgm:spPr>
      <dgm:t>
        <a:bodyPr/>
        <a:lstStyle/>
        <a:p>
          <a:pPr algn="ctr"/>
          <a:r>
            <a:rPr lang="lv-LV" sz="1100">
              <a:latin typeface="Times New Roman" panose="02020603050405020304" pitchFamily="18" charset="0"/>
              <a:cs typeface="Times New Roman" panose="02020603050405020304" pitchFamily="18" charset="0"/>
            </a:rPr>
            <a:t>Mēneša alga</a:t>
          </a:r>
        </a:p>
      </dgm:t>
    </dgm:pt>
    <dgm:pt modelId="{80F51B19-15B6-4D6E-8ADF-E929127F13AC}" type="parTrans" cxnId="{6D7B0889-5901-4525-89C4-9E41AF257DF9}">
      <dgm:prSet/>
      <dgm:spPr/>
      <dgm:t>
        <a:bodyPr/>
        <a:lstStyle/>
        <a:p>
          <a:endParaRPr lang="lv-LV" sz="1200"/>
        </a:p>
      </dgm:t>
    </dgm:pt>
    <dgm:pt modelId="{CC92BA2A-0D7A-42E5-ADFB-FFA27BFF88EE}" type="sibTrans" cxnId="{6D7B0889-5901-4525-89C4-9E41AF257DF9}">
      <dgm:prSet/>
      <dgm:spPr/>
      <dgm:t>
        <a:bodyPr/>
        <a:lstStyle/>
        <a:p>
          <a:endParaRPr lang="lv-LV" sz="1200"/>
        </a:p>
      </dgm:t>
    </dgm:pt>
    <dgm:pt modelId="{D6EC3058-FE84-425D-BA99-1E0AAAE59C54}">
      <dgm:prSet phldrT="[Teksts]" custT="1"/>
      <dgm:spPr>
        <a:solidFill>
          <a:schemeClr val="accent2"/>
        </a:solidFill>
        <a:ln>
          <a:solidFill>
            <a:schemeClr val="bg1"/>
          </a:solidFill>
        </a:ln>
      </dgm:spPr>
      <dgm:t>
        <a:bodyPr/>
        <a:lstStyle/>
        <a:p>
          <a:r>
            <a:rPr lang="lv-LV" sz="1100" b="1">
              <a:latin typeface="Times New Roman" panose="02020603050405020304" pitchFamily="18" charset="0"/>
              <a:cs typeface="Times New Roman" panose="02020603050405020304" pitchFamily="18" charset="0"/>
            </a:rPr>
            <a:t>Mainīgā daļa</a:t>
          </a:r>
        </a:p>
      </dgm:t>
    </dgm:pt>
    <dgm:pt modelId="{6B03FBF5-6C5C-45DF-A780-CB6ACB6D8477}" type="parTrans" cxnId="{FC0BA000-A38D-4EB1-A7E8-F24EF4D6FA0C}">
      <dgm:prSet/>
      <dgm:spPr/>
      <dgm:t>
        <a:bodyPr/>
        <a:lstStyle/>
        <a:p>
          <a:endParaRPr lang="lv-LV" sz="1200"/>
        </a:p>
      </dgm:t>
    </dgm:pt>
    <dgm:pt modelId="{DDF2EC67-A5FD-41FC-964D-00BED6D1B07F}" type="sibTrans" cxnId="{FC0BA000-A38D-4EB1-A7E8-F24EF4D6FA0C}">
      <dgm:prSet/>
      <dgm:spPr/>
      <dgm:t>
        <a:bodyPr/>
        <a:lstStyle/>
        <a:p>
          <a:endParaRPr lang="lv-LV" sz="1200"/>
        </a:p>
      </dgm:t>
    </dgm:pt>
    <dgm:pt modelId="{2CAF5363-3819-47F6-9734-D5549CB7421E}">
      <dgm:prSet phldrT="[Teksts]" custT="1"/>
      <dgm:spPr>
        <a:solidFill>
          <a:schemeClr val="accent2">
            <a:lumMod val="20000"/>
            <a:lumOff val="80000"/>
            <a:alpha val="90000"/>
          </a:schemeClr>
        </a:solidFill>
        <a:ln>
          <a:solidFill>
            <a:schemeClr val="bg1">
              <a:alpha val="90000"/>
            </a:schemeClr>
          </a:solidFill>
        </a:ln>
      </dgm:spPr>
      <dgm:t>
        <a:bodyPr/>
        <a:lstStyle/>
        <a:p>
          <a:pPr algn="ctr"/>
          <a:r>
            <a:rPr lang="lv-LV" sz="1100" b="0">
              <a:latin typeface="Times New Roman" panose="02020603050405020304" pitchFamily="18" charset="0"/>
              <a:cs typeface="Times New Roman" panose="02020603050405020304" pitchFamily="18" charset="0"/>
            </a:rPr>
            <a:t>Prēmija</a:t>
          </a:r>
        </a:p>
      </dgm:t>
    </dgm:pt>
    <dgm:pt modelId="{19D886B1-E74E-418E-85C9-866506E5D86D}" type="parTrans" cxnId="{8B3EE033-CC5F-46DB-BDFE-E153D9A28717}">
      <dgm:prSet/>
      <dgm:spPr/>
      <dgm:t>
        <a:bodyPr/>
        <a:lstStyle/>
        <a:p>
          <a:endParaRPr lang="lv-LV" sz="1200"/>
        </a:p>
      </dgm:t>
    </dgm:pt>
    <dgm:pt modelId="{3054D9B9-6482-468D-A040-69A8EAFC6844}" type="sibTrans" cxnId="{8B3EE033-CC5F-46DB-BDFE-E153D9A28717}">
      <dgm:prSet/>
      <dgm:spPr/>
      <dgm:t>
        <a:bodyPr/>
        <a:lstStyle/>
        <a:p>
          <a:endParaRPr lang="lv-LV" sz="1200"/>
        </a:p>
      </dgm:t>
    </dgm:pt>
    <dgm:pt modelId="{9D244720-5BF2-4F87-88EE-009D434D64DC}" type="pres">
      <dgm:prSet presAssocID="{47C9FEE2-5E65-4F60-A91A-706041528791}" presName="Name0" presStyleCnt="0">
        <dgm:presLayoutVars>
          <dgm:dir/>
          <dgm:animLvl val="lvl"/>
          <dgm:resizeHandles val="exact"/>
        </dgm:presLayoutVars>
      </dgm:prSet>
      <dgm:spPr/>
    </dgm:pt>
    <dgm:pt modelId="{662AAAC1-CB1B-405E-A2E2-3B669C31E3D3}" type="pres">
      <dgm:prSet presAssocID="{5D58A8A2-B5FC-451C-84CE-3F7C98811216}" presName="composite" presStyleCnt="0"/>
      <dgm:spPr/>
    </dgm:pt>
    <dgm:pt modelId="{AA9FDCA3-77E5-40F6-B7CB-08054EFAD3A2}" type="pres">
      <dgm:prSet presAssocID="{5D58A8A2-B5FC-451C-84CE-3F7C98811216}" presName="parTx" presStyleLbl="alignNode1" presStyleIdx="0" presStyleCnt="2">
        <dgm:presLayoutVars>
          <dgm:chMax val="0"/>
          <dgm:chPref val="0"/>
          <dgm:bulletEnabled val="1"/>
        </dgm:presLayoutVars>
      </dgm:prSet>
      <dgm:spPr/>
    </dgm:pt>
    <dgm:pt modelId="{BAEA2AD7-B666-4C8A-A976-8AC897DE0111}" type="pres">
      <dgm:prSet presAssocID="{5D58A8A2-B5FC-451C-84CE-3F7C98811216}" presName="desTx" presStyleLbl="alignAccFollowNode1" presStyleIdx="0" presStyleCnt="2">
        <dgm:presLayoutVars>
          <dgm:bulletEnabled val="1"/>
        </dgm:presLayoutVars>
      </dgm:prSet>
      <dgm:spPr/>
    </dgm:pt>
    <dgm:pt modelId="{39C323AA-8D25-42FA-B7C9-D769CDCD134D}" type="pres">
      <dgm:prSet presAssocID="{BFCA813F-157C-4993-82FA-299D784A35EA}" presName="space" presStyleCnt="0"/>
      <dgm:spPr/>
    </dgm:pt>
    <dgm:pt modelId="{773CC97D-8B37-48F8-883A-140E1FF33861}" type="pres">
      <dgm:prSet presAssocID="{D6EC3058-FE84-425D-BA99-1E0AAAE59C54}" presName="composite" presStyleCnt="0"/>
      <dgm:spPr/>
    </dgm:pt>
    <dgm:pt modelId="{35C86D5E-E765-4E61-ADF7-0ECD16078F83}" type="pres">
      <dgm:prSet presAssocID="{D6EC3058-FE84-425D-BA99-1E0AAAE59C54}" presName="parTx" presStyleLbl="alignNode1" presStyleIdx="1" presStyleCnt="2">
        <dgm:presLayoutVars>
          <dgm:chMax val="0"/>
          <dgm:chPref val="0"/>
          <dgm:bulletEnabled val="1"/>
        </dgm:presLayoutVars>
      </dgm:prSet>
      <dgm:spPr/>
    </dgm:pt>
    <dgm:pt modelId="{A87C9521-83A5-4B62-879A-FB60E8464BFB}" type="pres">
      <dgm:prSet presAssocID="{D6EC3058-FE84-425D-BA99-1E0AAAE59C54}" presName="desTx" presStyleLbl="alignAccFollowNode1" presStyleIdx="1" presStyleCnt="2">
        <dgm:presLayoutVars>
          <dgm:bulletEnabled val="1"/>
        </dgm:presLayoutVars>
      </dgm:prSet>
      <dgm:spPr/>
    </dgm:pt>
  </dgm:ptLst>
  <dgm:cxnLst>
    <dgm:cxn modelId="{FC0BA000-A38D-4EB1-A7E8-F24EF4D6FA0C}" srcId="{47C9FEE2-5E65-4F60-A91A-706041528791}" destId="{D6EC3058-FE84-425D-BA99-1E0AAAE59C54}" srcOrd="1" destOrd="0" parTransId="{6B03FBF5-6C5C-45DF-A780-CB6ACB6D8477}" sibTransId="{DDF2EC67-A5FD-41FC-964D-00BED6D1B07F}"/>
    <dgm:cxn modelId="{9B89881D-469E-40FD-8949-188E0F942454}" type="presOf" srcId="{47C9FEE2-5E65-4F60-A91A-706041528791}" destId="{9D244720-5BF2-4F87-88EE-009D434D64DC}" srcOrd="0" destOrd="0" presId="urn:microsoft.com/office/officeart/2005/8/layout/hList1"/>
    <dgm:cxn modelId="{8B3EE033-CC5F-46DB-BDFE-E153D9A28717}" srcId="{D6EC3058-FE84-425D-BA99-1E0AAAE59C54}" destId="{2CAF5363-3819-47F6-9734-D5549CB7421E}" srcOrd="0" destOrd="0" parTransId="{19D886B1-E74E-418E-85C9-866506E5D86D}" sibTransId="{3054D9B9-6482-468D-A040-69A8EAFC6844}"/>
    <dgm:cxn modelId="{77D3665E-FA0C-434C-AD04-EF64B41B4112}" type="presOf" srcId="{FB524AD6-D054-475B-B23E-A9DD8F07F66A}" destId="{BAEA2AD7-B666-4C8A-A976-8AC897DE0111}" srcOrd="0" destOrd="0" presId="urn:microsoft.com/office/officeart/2005/8/layout/hList1"/>
    <dgm:cxn modelId="{013D2B77-31FA-4142-B9D0-FBC3109DAC34}" type="presOf" srcId="{D6EC3058-FE84-425D-BA99-1E0AAAE59C54}" destId="{35C86D5E-E765-4E61-ADF7-0ECD16078F83}" srcOrd="0" destOrd="0" presId="urn:microsoft.com/office/officeart/2005/8/layout/hList1"/>
    <dgm:cxn modelId="{6D7B0889-5901-4525-89C4-9E41AF257DF9}" srcId="{5D58A8A2-B5FC-451C-84CE-3F7C98811216}" destId="{FB524AD6-D054-475B-B23E-A9DD8F07F66A}" srcOrd="0" destOrd="0" parTransId="{80F51B19-15B6-4D6E-8ADF-E929127F13AC}" sibTransId="{CC92BA2A-0D7A-42E5-ADFB-FFA27BFF88EE}"/>
    <dgm:cxn modelId="{9062F597-C063-4439-8C8D-ED0F0601A93C}" srcId="{47C9FEE2-5E65-4F60-A91A-706041528791}" destId="{5D58A8A2-B5FC-451C-84CE-3F7C98811216}" srcOrd="0" destOrd="0" parTransId="{CBD86065-4960-4F38-8923-BF065298BA1F}" sibTransId="{BFCA813F-157C-4993-82FA-299D784A35EA}"/>
    <dgm:cxn modelId="{7E8154B0-10FC-4D3B-A464-73B7CCC7B0BB}" type="presOf" srcId="{2CAF5363-3819-47F6-9734-D5549CB7421E}" destId="{A87C9521-83A5-4B62-879A-FB60E8464BFB}" srcOrd="0" destOrd="0" presId="urn:microsoft.com/office/officeart/2005/8/layout/hList1"/>
    <dgm:cxn modelId="{66C922B7-C61C-43E1-9CE3-F5195853C49D}" type="presOf" srcId="{5D58A8A2-B5FC-451C-84CE-3F7C98811216}" destId="{AA9FDCA3-77E5-40F6-B7CB-08054EFAD3A2}" srcOrd="0" destOrd="0" presId="urn:microsoft.com/office/officeart/2005/8/layout/hList1"/>
    <dgm:cxn modelId="{48122021-0A9F-47F7-917C-9640A9DB69EE}" type="presParOf" srcId="{9D244720-5BF2-4F87-88EE-009D434D64DC}" destId="{662AAAC1-CB1B-405E-A2E2-3B669C31E3D3}" srcOrd="0" destOrd="0" presId="urn:microsoft.com/office/officeart/2005/8/layout/hList1"/>
    <dgm:cxn modelId="{A6A7215E-4C76-4ACD-A873-9D587417D73B}" type="presParOf" srcId="{662AAAC1-CB1B-405E-A2E2-3B669C31E3D3}" destId="{AA9FDCA3-77E5-40F6-B7CB-08054EFAD3A2}" srcOrd="0" destOrd="0" presId="urn:microsoft.com/office/officeart/2005/8/layout/hList1"/>
    <dgm:cxn modelId="{D2CB7105-86A6-464A-995C-BBE4588BB607}" type="presParOf" srcId="{662AAAC1-CB1B-405E-A2E2-3B669C31E3D3}" destId="{BAEA2AD7-B666-4C8A-A976-8AC897DE0111}" srcOrd="1" destOrd="0" presId="urn:microsoft.com/office/officeart/2005/8/layout/hList1"/>
    <dgm:cxn modelId="{0A01840F-70EB-426B-AD5E-46D7A2A3843A}" type="presParOf" srcId="{9D244720-5BF2-4F87-88EE-009D434D64DC}" destId="{39C323AA-8D25-42FA-B7C9-D769CDCD134D}" srcOrd="1" destOrd="0" presId="urn:microsoft.com/office/officeart/2005/8/layout/hList1"/>
    <dgm:cxn modelId="{C4C43D67-3F06-4E89-89D7-C4A144B76847}" type="presParOf" srcId="{9D244720-5BF2-4F87-88EE-009D434D64DC}" destId="{773CC97D-8B37-48F8-883A-140E1FF33861}" srcOrd="2" destOrd="0" presId="urn:microsoft.com/office/officeart/2005/8/layout/hList1"/>
    <dgm:cxn modelId="{F44873FB-045C-4990-B388-088EE398DD79}" type="presParOf" srcId="{773CC97D-8B37-48F8-883A-140E1FF33861}" destId="{35C86D5E-E765-4E61-ADF7-0ECD16078F83}" srcOrd="0" destOrd="0" presId="urn:microsoft.com/office/officeart/2005/8/layout/hList1"/>
    <dgm:cxn modelId="{FADC26F3-C611-481F-9A5D-9DF90CAE5F2F}" type="presParOf" srcId="{773CC97D-8B37-48F8-883A-140E1FF33861}" destId="{A87C9521-83A5-4B62-879A-FB60E8464BFB}"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7C9FEE2-5E65-4F60-A91A-706041528791}"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lv-LV"/>
        </a:p>
      </dgm:t>
    </dgm:pt>
    <dgm:pt modelId="{5D58A8A2-B5FC-451C-84CE-3F7C98811216}">
      <dgm:prSet phldrT="[Teksts]" custT="1"/>
      <dgm:spPr>
        <a:solidFill>
          <a:schemeClr val="accent2"/>
        </a:solidFill>
        <a:ln>
          <a:solidFill>
            <a:schemeClr val="bg1"/>
          </a:solidFill>
        </a:ln>
      </dgm:spPr>
      <dgm:t>
        <a:bodyPr/>
        <a:lstStyle/>
        <a:p>
          <a:r>
            <a:rPr lang="lv-LV" sz="1100" b="1">
              <a:latin typeface="Times New Roman" panose="02020603050405020304" pitchFamily="18" charset="0"/>
              <a:cs typeface="Times New Roman" panose="02020603050405020304" pitchFamily="18" charset="0"/>
            </a:rPr>
            <a:t>Apdrošināšanas un atsaukšanas pabalsts</a:t>
          </a:r>
        </a:p>
      </dgm:t>
    </dgm:pt>
    <dgm:pt modelId="{CBD86065-4960-4F38-8923-BF065298BA1F}" type="parTrans" cxnId="{9062F597-C063-4439-8C8D-ED0F0601A93C}">
      <dgm:prSet/>
      <dgm:spPr/>
      <dgm:t>
        <a:bodyPr/>
        <a:lstStyle/>
        <a:p>
          <a:endParaRPr lang="lv-LV" sz="1200"/>
        </a:p>
      </dgm:t>
    </dgm:pt>
    <dgm:pt modelId="{BFCA813F-157C-4993-82FA-299D784A35EA}" type="sibTrans" cxnId="{9062F597-C063-4439-8C8D-ED0F0601A93C}">
      <dgm:prSet/>
      <dgm:spPr/>
      <dgm:t>
        <a:bodyPr/>
        <a:lstStyle/>
        <a:p>
          <a:endParaRPr lang="lv-LV" sz="1200"/>
        </a:p>
      </dgm:t>
    </dgm:pt>
    <dgm:pt modelId="{FB524AD6-D054-475B-B23E-A9DD8F07F66A}">
      <dgm:prSet phldrT="[Teksts]" custT="1"/>
      <dgm:spPr>
        <a:solidFill>
          <a:schemeClr val="accent2">
            <a:lumMod val="20000"/>
            <a:lumOff val="80000"/>
            <a:alpha val="90000"/>
          </a:schemeClr>
        </a:solidFill>
        <a:ln>
          <a:solidFill>
            <a:schemeClr val="bg1">
              <a:alpha val="90000"/>
            </a:schemeClr>
          </a:solidFill>
        </a:ln>
      </dgm:spPr>
      <dgm:t>
        <a:bodyPr/>
        <a:lstStyle/>
        <a:p>
          <a:pPr algn="just"/>
          <a:r>
            <a:rPr lang="lv-LV" sz="1100">
              <a:latin typeface="Times New Roman" panose="02020603050405020304" pitchFamily="18" charset="0"/>
              <a:cs typeface="Times New Roman" panose="02020603050405020304" pitchFamily="18" charset="0"/>
            </a:rPr>
            <a:t>Veselības apdrošināšana</a:t>
          </a:r>
        </a:p>
      </dgm:t>
    </dgm:pt>
    <dgm:pt modelId="{80F51B19-15B6-4D6E-8ADF-E929127F13AC}" type="parTrans" cxnId="{6D7B0889-5901-4525-89C4-9E41AF257DF9}">
      <dgm:prSet/>
      <dgm:spPr/>
      <dgm:t>
        <a:bodyPr/>
        <a:lstStyle/>
        <a:p>
          <a:endParaRPr lang="lv-LV" sz="1200"/>
        </a:p>
      </dgm:t>
    </dgm:pt>
    <dgm:pt modelId="{CC92BA2A-0D7A-42E5-ADFB-FFA27BFF88EE}" type="sibTrans" cxnId="{6D7B0889-5901-4525-89C4-9E41AF257DF9}">
      <dgm:prSet/>
      <dgm:spPr/>
      <dgm:t>
        <a:bodyPr/>
        <a:lstStyle/>
        <a:p>
          <a:endParaRPr lang="lv-LV" sz="1200"/>
        </a:p>
      </dgm:t>
    </dgm:pt>
    <dgm:pt modelId="{D6EC3058-FE84-425D-BA99-1E0AAAE59C54}">
      <dgm:prSet phldrT="[Teksts]" custT="1"/>
      <dgm:spPr>
        <a:solidFill>
          <a:schemeClr val="accent2"/>
        </a:solidFill>
        <a:ln>
          <a:solidFill>
            <a:schemeClr val="bg1"/>
          </a:solidFill>
        </a:ln>
      </dgm:spPr>
      <dgm:t>
        <a:bodyPr/>
        <a:lstStyle/>
        <a:p>
          <a:r>
            <a:rPr lang="lv-LV" sz="1100" b="1">
              <a:latin typeface="Times New Roman" panose="02020603050405020304" pitchFamily="18" charset="0"/>
              <a:cs typeface="Times New Roman" panose="02020603050405020304" pitchFamily="18" charset="0"/>
            </a:rPr>
            <a:t>Tehniskais nodrošinājums</a:t>
          </a:r>
        </a:p>
      </dgm:t>
    </dgm:pt>
    <dgm:pt modelId="{6B03FBF5-6C5C-45DF-A780-CB6ACB6D8477}" type="parTrans" cxnId="{FC0BA000-A38D-4EB1-A7E8-F24EF4D6FA0C}">
      <dgm:prSet/>
      <dgm:spPr/>
      <dgm:t>
        <a:bodyPr/>
        <a:lstStyle/>
        <a:p>
          <a:endParaRPr lang="lv-LV" sz="1200"/>
        </a:p>
      </dgm:t>
    </dgm:pt>
    <dgm:pt modelId="{DDF2EC67-A5FD-41FC-964D-00BED6D1B07F}" type="sibTrans" cxnId="{FC0BA000-A38D-4EB1-A7E8-F24EF4D6FA0C}">
      <dgm:prSet/>
      <dgm:spPr/>
      <dgm:t>
        <a:bodyPr/>
        <a:lstStyle/>
        <a:p>
          <a:endParaRPr lang="lv-LV" sz="1200"/>
        </a:p>
      </dgm:t>
    </dgm:pt>
    <dgm:pt modelId="{2CAF5363-3819-47F6-9734-D5549CB7421E}">
      <dgm:prSet phldrT="[Teksts]" custT="1"/>
      <dgm:spPr>
        <a:solidFill>
          <a:schemeClr val="accent2">
            <a:lumMod val="20000"/>
            <a:lumOff val="80000"/>
            <a:alpha val="90000"/>
          </a:schemeClr>
        </a:solidFill>
        <a:ln>
          <a:solidFill>
            <a:schemeClr val="accent1">
              <a:lumMod val="20000"/>
              <a:lumOff val="80000"/>
              <a:alpha val="90000"/>
            </a:schemeClr>
          </a:solidFill>
        </a:ln>
      </dgm:spPr>
      <dgm:t>
        <a:bodyPr/>
        <a:lstStyle/>
        <a:p>
          <a:pPr algn="just"/>
          <a:r>
            <a:rPr lang="lv-LV" sz="1100" b="0">
              <a:latin typeface="Times New Roman" panose="02020603050405020304" pitchFamily="18" charset="0"/>
              <a:cs typeface="Times New Roman" panose="02020603050405020304" pitchFamily="18" charset="0"/>
            </a:rPr>
            <a:t>Datortehnika</a:t>
          </a:r>
        </a:p>
      </dgm:t>
    </dgm:pt>
    <dgm:pt modelId="{19D886B1-E74E-418E-85C9-866506E5D86D}" type="parTrans" cxnId="{8B3EE033-CC5F-46DB-BDFE-E153D9A28717}">
      <dgm:prSet/>
      <dgm:spPr/>
      <dgm:t>
        <a:bodyPr/>
        <a:lstStyle/>
        <a:p>
          <a:endParaRPr lang="lv-LV" sz="1200"/>
        </a:p>
      </dgm:t>
    </dgm:pt>
    <dgm:pt modelId="{3054D9B9-6482-468D-A040-69A8EAFC6844}" type="sibTrans" cxnId="{8B3EE033-CC5F-46DB-BDFE-E153D9A28717}">
      <dgm:prSet/>
      <dgm:spPr/>
      <dgm:t>
        <a:bodyPr/>
        <a:lstStyle/>
        <a:p>
          <a:endParaRPr lang="lv-LV" sz="1200"/>
        </a:p>
      </dgm:t>
    </dgm:pt>
    <dgm:pt modelId="{80EB7798-C2AE-4EDA-8B27-42E05F19C307}">
      <dgm:prSet phldrT="[Teksts]" custT="1"/>
      <dgm:spPr>
        <a:solidFill>
          <a:schemeClr val="accent2">
            <a:lumMod val="20000"/>
            <a:lumOff val="80000"/>
            <a:alpha val="90000"/>
          </a:schemeClr>
        </a:solidFill>
        <a:ln>
          <a:solidFill>
            <a:schemeClr val="bg1">
              <a:alpha val="90000"/>
            </a:schemeClr>
          </a:solidFill>
        </a:ln>
      </dgm:spPr>
      <dgm:t>
        <a:bodyPr/>
        <a:lstStyle/>
        <a:p>
          <a:pPr algn="just"/>
          <a:r>
            <a:rPr lang="lv-LV" sz="1100">
              <a:latin typeface="Times New Roman" panose="02020603050405020304" pitchFamily="18" charset="0"/>
              <a:cs typeface="Times New Roman" panose="02020603050405020304" pitchFamily="18" charset="0"/>
            </a:rPr>
            <a:t>Civiltiesiskā apdrošināšana</a:t>
          </a:r>
        </a:p>
      </dgm:t>
    </dgm:pt>
    <dgm:pt modelId="{10DF82FC-FD16-4832-A3A9-2A13F200B7F3}" type="parTrans" cxnId="{C4196A7C-5EB0-4AC9-AA7D-82DC56A1D6B6}">
      <dgm:prSet/>
      <dgm:spPr/>
      <dgm:t>
        <a:bodyPr/>
        <a:lstStyle/>
        <a:p>
          <a:endParaRPr lang="lv-LV"/>
        </a:p>
      </dgm:t>
    </dgm:pt>
    <dgm:pt modelId="{ADB54683-291C-4D3E-8937-EA95048A9B98}" type="sibTrans" cxnId="{C4196A7C-5EB0-4AC9-AA7D-82DC56A1D6B6}">
      <dgm:prSet/>
      <dgm:spPr/>
      <dgm:t>
        <a:bodyPr/>
        <a:lstStyle/>
        <a:p>
          <a:endParaRPr lang="lv-LV"/>
        </a:p>
      </dgm:t>
    </dgm:pt>
    <dgm:pt modelId="{35356487-A47B-4790-8568-32702E197A74}">
      <dgm:prSet phldrT="[Teksts]" custT="1"/>
      <dgm:spPr>
        <a:solidFill>
          <a:schemeClr val="accent2">
            <a:lumMod val="20000"/>
            <a:lumOff val="80000"/>
            <a:alpha val="90000"/>
          </a:schemeClr>
        </a:solidFill>
        <a:ln>
          <a:solidFill>
            <a:schemeClr val="bg1">
              <a:alpha val="90000"/>
            </a:schemeClr>
          </a:solidFill>
        </a:ln>
      </dgm:spPr>
      <dgm:t>
        <a:bodyPr/>
        <a:lstStyle/>
        <a:p>
          <a:pPr algn="just"/>
          <a:r>
            <a:rPr lang="lv-LV" sz="1100">
              <a:latin typeface="Times New Roman" panose="02020603050405020304" pitchFamily="18" charset="0"/>
              <a:cs typeface="Times New Roman" panose="02020603050405020304" pitchFamily="18" charset="0"/>
            </a:rPr>
            <a:t>Ar nosūtīšanu komandējumā saistīta apdrošināšana</a:t>
          </a:r>
        </a:p>
      </dgm:t>
    </dgm:pt>
    <dgm:pt modelId="{830FFF49-DAD1-47F3-8F31-259CCB023ECB}" type="parTrans" cxnId="{994B3E32-98E0-4182-891F-131F53F2C719}">
      <dgm:prSet/>
      <dgm:spPr/>
      <dgm:t>
        <a:bodyPr/>
        <a:lstStyle/>
        <a:p>
          <a:endParaRPr lang="lv-LV"/>
        </a:p>
      </dgm:t>
    </dgm:pt>
    <dgm:pt modelId="{F678324D-F55B-453E-A37E-C9E2519F586A}" type="sibTrans" cxnId="{994B3E32-98E0-4182-891F-131F53F2C719}">
      <dgm:prSet/>
      <dgm:spPr/>
      <dgm:t>
        <a:bodyPr/>
        <a:lstStyle/>
        <a:p>
          <a:endParaRPr lang="lv-LV"/>
        </a:p>
      </dgm:t>
    </dgm:pt>
    <dgm:pt modelId="{216AA213-D676-4E07-A46C-F5C59AC03F81}">
      <dgm:prSet phldrT="[Teksts]" custT="1"/>
      <dgm:spPr>
        <a:solidFill>
          <a:schemeClr val="accent2">
            <a:lumMod val="20000"/>
            <a:lumOff val="80000"/>
            <a:alpha val="90000"/>
          </a:schemeClr>
        </a:solidFill>
        <a:ln>
          <a:solidFill>
            <a:schemeClr val="bg1">
              <a:alpha val="90000"/>
            </a:schemeClr>
          </a:solidFill>
        </a:ln>
      </dgm:spPr>
      <dgm:t>
        <a:bodyPr/>
        <a:lstStyle/>
        <a:p>
          <a:pPr algn="just"/>
          <a:r>
            <a:rPr lang="lv-LV" sz="1100">
              <a:latin typeface="Times New Roman" panose="02020603050405020304" pitchFamily="18" charset="0"/>
              <a:cs typeface="Times New Roman" panose="02020603050405020304" pitchFamily="18" charset="0"/>
            </a:rPr>
            <a:t>Atsaukšanas pabalsts</a:t>
          </a:r>
        </a:p>
      </dgm:t>
    </dgm:pt>
    <dgm:pt modelId="{3A182F14-6CA3-4BC9-922E-EA65BED10352}" type="parTrans" cxnId="{CB8A7199-1CC3-403E-8A95-D5AC98F9F4F0}">
      <dgm:prSet/>
      <dgm:spPr/>
      <dgm:t>
        <a:bodyPr/>
        <a:lstStyle/>
        <a:p>
          <a:endParaRPr lang="lv-LV"/>
        </a:p>
      </dgm:t>
    </dgm:pt>
    <dgm:pt modelId="{8553C84C-E79A-4A74-8424-F12F0AD60801}" type="sibTrans" cxnId="{CB8A7199-1CC3-403E-8A95-D5AC98F9F4F0}">
      <dgm:prSet/>
      <dgm:spPr/>
      <dgm:t>
        <a:bodyPr/>
        <a:lstStyle/>
        <a:p>
          <a:endParaRPr lang="lv-LV"/>
        </a:p>
      </dgm:t>
    </dgm:pt>
    <dgm:pt modelId="{1DD1AFC2-0495-4A57-B110-C67A18229415}">
      <dgm:prSet phldrT="[Teksts]" custT="1"/>
      <dgm:spPr>
        <a:solidFill>
          <a:schemeClr val="accent2">
            <a:lumMod val="20000"/>
            <a:lumOff val="80000"/>
            <a:alpha val="90000"/>
          </a:schemeClr>
        </a:solidFill>
        <a:ln>
          <a:solidFill>
            <a:schemeClr val="accent1">
              <a:lumMod val="20000"/>
              <a:lumOff val="80000"/>
              <a:alpha val="90000"/>
            </a:schemeClr>
          </a:solidFill>
        </a:ln>
      </dgm:spPr>
      <dgm:t>
        <a:bodyPr/>
        <a:lstStyle/>
        <a:p>
          <a:pPr algn="just"/>
          <a:r>
            <a:rPr lang="lv-LV" sz="1100" b="0">
              <a:latin typeface="Times New Roman" panose="02020603050405020304" pitchFamily="18" charset="0"/>
              <a:cs typeface="Times New Roman" panose="02020603050405020304" pitchFamily="18" charset="0"/>
            </a:rPr>
            <a:t>Tālrunis</a:t>
          </a:r>
        </a:p>
      </dgm:t>
    </dgm:pt>
    <dgm:pt modelId="{CFF29AF6-27B4-4231-932D-3E881C0654A4}" type="parTrans" cxnId="{EB8A3B72-7157-4796-A0C2-B21F36DA43E8}">
      <dgm:prSet/>
      <dgm:spPr/>
      <dgm:t>
        <a:bodyPr/>
        <a:lstStyle/>
        <a:p>
          <a:endParaRPr lang="lv-LV"/>
        </a:p>
      </dgm:t>
    </dgm:pt>
    <dgm:pt modelId="{E987C08F-0298-4792-BFF6-20D41003F583}" type="sibTrans" cxnId="{EB8A3B72-7157-4796-A0C2-B21F36DA43E8}">
      <dgm:prSet/>
      <dgm:spPr/>
      <dgm:t>
        <a:bodyPr/>
        <a:lstStyle/>
        <a:p>
          <a:endParaRPr lang="lv-LV"/>
        </a:p>
      </dgm:t>
    </dgm:pt>
    <dgm:pt modelId="{9D244720-5BF2-4F87-88EE-009D434D64DC}" type="pres">
      <dgm:prSet presAssocID="{47C9FEE2-5E65-4F60-A91A-706041528791}" presName="Name0" presStyleCnt="0">
        <dgm:presLayoutVars>
          <dgm:dir/>
          <dgm:animLvl val="lvl"/>
          <dgm:resizeHandles val="exact"/>
        </dgm:presLayoutVars>
      </dgm:prSet>
      <dgm:spPr/>
    </dgm:pt>
    <dgm:pt modelId="{662AAAC1-CB1B-405E-A2E2-3B669C31E3D3}" type="pres">
      <dgm:prSet presAssocID="{5D58A8A2-B5FC-451C-84CE-3F7C98811216}" presName="composite" presStyleCnt="0"/>
      <dgm:spPr/>
    </dgm:pt>
    <dgm:pt modelId="{AA9FDCA3-77E5-40F6-B7CB-08054EFAD3A2}" type="pres">
      <dgm:prSet presAssocID="{5D58A8A2-B5FC-451C-84CE-3F7C98811216}" presName="parTx" presStyleLbl="alignNode1" presStyleIdx="0" presStyleCnt="2" custScaleY="91196">
        <dgm:presLayoutVars>
          <dgm:chMax val="0"/>
          <dgm:chPref val="0"/>
          <dgm:bulletEnabled val="1"/>
        </dgm:presLayoutVars>
      </dgm:prSet>
      <dgm:spPr/>
    </dgm:pt>
    <dgm:pt modelId="{BAEA2AD7-B666-4C8A-A976-8AC897DE0111}" type="pres">
      <dgm:prSet presAssocID="{5D58A8A2-B5FC-451C-84CE-3F7C98811216}" presName="desTx" presStyleLbl="alignAccFollowNode1" presStyleIdx="0" presStyleCnt="2">
        <dgm:presLayoutVars>
          <dgm:bulletEnabled val="1"/>
        </dgm:presLayoutVars>
      </dgm:prSet>
      <dgm:spPr/>
    </dgm:pt>
    <dgm:pt modelId="{39C323AA-8D25-42FA-B7C9-D769CDCD134D}" type="pres">
      <dgm:prSet presAssocID="{BFCA813F-157C-4993-82FA-299D784A35EA}" presName="space" presStyleCnt="0"/>
      <dgm:spPr/>
    </dgm:pt>
    <dgm:pt modelId="{773CC97D-8B37-48F8-883A-140E1FF33861}" type="pres">
      <dgm:prSet presAssocID="{D6EC3058-FE84-425D-BA99-1E0AAAE59C54}" presName="composite" presStyleCnt="0"/>
      <dgm:spPr/>
    </dgm:pt>
    <dgm:pt modelId="{35C86D5E-E765-4E61-ADF7-0ECD16078F83}" type="pres">
      <dgm:prSet presAssocID="{D6EC3058-FE84-425D-BA99-1E0AAAE59C54}" presName="parTx" presStyleLbl="alignNode1" presStyleIdx="1" presStyleCnt="2" custScaleY="91196">
        <dgm:presLayoutVars>
          <dgm:chMax val="0"/>
          <dgm:chPref val="0"/>
          <dgm:bulletEnabled val="1"/>
        </dgm:presLayoutVars>
      </dgm:prSet>
      <dgm:spPr/>
    </dgm:pt>
    <dgm:pt modelId="{A87C9521-83A5-4B62-879A-FB60E8464BFB}" type="pres">
      <dgm:prSet presAssocID="{D6EC3058-FE84-425D-BA99-1E0AAAE59C54}" presName="desTx" presStyleLbl="alignAccFollowNode1" presStyleIdx="1" presStyleCnt="2">
        <dgm:presLayoutVars>
          <dgm:bulletEnabled val="1"/>
        </dgm:presLayoutVars>
      </dgm:prSet>
      <dgm:spPr/>
    </dgm:pt>
  </dgm:ptLst>
  <dgm:cxnLst>
    <dgm:cxn modelId="{FC0BA000-A38D-4EB1-A7E8-F24EF4D6FA0C}" srcId="{47C9FEE2-5E65-4F60-A91A-706041528791}" destId="{D6EC3058-FE84-425D-BA99-1E0AAAE59C54}" srcOrd="1" destOrd="0" parTransId="{6B03FBF5-6C5C-45DF-A780-CB6ACB6D8477}" sibTransId="{DDF2EC67-A5FD-41FC-964D-00BED6D1B07F}"/>
    <dgm:cxn modelId="{9B89881D-469E-40FD-8949-188E0F942454}" type="presOf" srcId="{47C9FEE2-5E65-4F60-A91A-706041528791}" destId="{9D244720-5BF2-4F87-88EE-009D434D64DC}" srcOrd="0" destOrd="0" presId="urn:microsoft.com/office/officeart/2005/8/layout/hList1"/>
    <dgm:cxn modelId="{994B3E32-98E0-4182-891F-131F53F2C719}" srcId="{5D58A8A2-B5FC-451C-84CE-3F7C98811216}" destId="{35356487-A47B-4790-8568-32702E197A74}" srcOrd="2" destOrd="0" parTransId="{830FFF49-DAD1-47F3-8F31-259CCB023ECB}" sibTransId="{F678324D-F55B-453E-A37E-C9E2519F586A}"/>
    <dgm:cxn modelId="{8B3EE033-CC5F-46DB-BDFE-E153D9A28717}" srcId="{D6EC3058-FE84-425D-BA99-1E0AAAE59C54}" destId="{2CAF5363-3819-47F6-9734-D5549CB7421E}" srcOrd="0" destOrd="0" parTransId="{19D886B1-E74E-418E-85C9-866506E5D86D}" sibTransId="{3054D9B9-6482-468D-A040-69A8EAFC6844}"/>
    <dgm:cxn modelId="{0198285B-299E-460E-8E63-EAD2E36D3C40}" type="presOf" srcId="{80EB7798-C2AE-4EDA-8B27-42E05F19C307}" destId="{BAEA2AD7-B666-4C8A-A976-8AC897DE0111}" srcOrd="0" destOrd="1" presId="urn:microsoft.com/office/officeart/2005/8/layout/hList1"/>
    <dgm:cxn modelId="{77D3665E-FA0C-434C-AD04-EF64B41B4112}" type="presOf" srcId="{FB524AD6-D054-475B-B23E-A9DD8F07F66A}" destId="{BAEA2AD7-B666-4C8A-A976-8AC897DE0111}" srcOrd="0" destOrd="0" presId="urn:microsoft.com/office/officeart/2005/8/layout/hList1"/>
    <dgm:cxn modelId="{EB8A3B72-7157-4796-A0C2-B21F36DA43E8}" srcId="{D6EC3058-FE84-425D-BA99-1E0AAAE59C54}" destId="{1DD1AFC2-0495-4A57-B110-C67A18229415}" srcOrd="1" destOrd="0" parTransId="{CFF29AF6-27B4-4231-932D-3E881C0654A4}" sibTransId="{E987C08F-0298-4792-BFF6-20D41003F583}"/>
    <dgm:cxn modelId="{013D2B77-31FA-4142-B9D0-FBC3109DAC34}" type="presOf" srcId="{D6EC3058-FE84-425D-BA99-1E0AAAE59C54}" destId="{35C86D5E-E765-4E61-ADF7-0ECD16078F83}" srcOrd="0" destOrd="0" presId="urn:microsoft.com/office/officeart/2005/8/layout/hList1"/>
    <dgm:cxn modelId="{C4196A7C-5EB0-4AC9-AA7D-82DC56A1D6B6}" srcId="{5D58A8A2-B5FC-451C-84CE-3F7C98811216}" destId="{80EB7798-C2AE-4EDA-8B27-42E05F19C307}" srcOrd="1" destOrd="0" parTransId="{10DF82FC-FD16-4832-A3A9-2A13F200B7F3}" sibTransId="{ADB54683-291C-4D3E-8937-EA95048A9B98}"/>
    <dgm:cxn modelId="{6D7B0889-5901-4525-89C4-9E41AF257DF9}" srcId="{5D58A8A2-B5FC-451C-84CE-3F7C98811216}" destId="{FB524AD6-D054-475B-B23E-A9DD8F07F66A}" srcOrd="0" destOrd="0" parTransId="{80F51B19-15B6-4D6E-8ADF-E929127F13AC}" sibTransId="{CC92BA2A-0D7A-42E5-ADFB-FFA27BFF88EE}"/>
    <dgm:cxn modelId="{D3D06B8E-C497-4063-9576-1ECBE47F21D6}" type="presOf" srcId="{1DD1AFC2-0495-4A57-B110-C67A18229415}" destId="{A87C9521-83A5-4B62-879A-FB60E8464BFB}" srcOrd="0" destOrd="1" presId="urn:microsoft.com/office/officeart/2005/8/layout/hList1"/>
    <dgm:cxn modelId="{9062F597-C063-4439-8C8D-ED0F0601A93C}" srcId="{47C9FEE2-5E65-4F60-A91A-706041528791}" destId="{5D58A8A2-B5FC-451C-84CE-3F7C98811216}" srcOrd="0" destOrd="0" parTransId="{CBD86065-4960-4F38-8923-BF065298BA1F}" sibTransId="{BFCA813F-157C-4993-82FA-299D784A35EA}"/>
    <dgm:cxn modelId="{CB8A7199-1CC3-403E-8A95-D5AC98F9F4F0}" srcId="{5D58A8A2-B5FC-451C-84CE-3F7C98811216}" destId="{216AA213-D676-4E07-A46C-F5C59AC03F81}" srcOrd="3" destOrd="0" parTransId="{3A182F14-6CA3-4BC9-922E-EA65BED10352}" sibTransId="{8553C84C-E79A-4A74-8424-F12F0AD60801}"/>
    <dgm:cxn modelId="{7E8154B0-10FC-4D3B-A464-73B7CCC7B0BB}" type="presOf" srcId="{2CAF5363-3819-47F6-9734-D5549CB7421E}" destId="{A87C9521-83A5-4B62-879A-FB60E8464BFB}" srcOrd="0" destOrd="0" presId="urn:microsoft.com/office/officeart/2005/8/layout/hList1"/>
    <dgm:cxn modelId="{66C922B7-C61C-43E1-9CE3-F5195853C49D}" type="presOf" srcId="{5D58A8A2-B5FC-451C-84CE-3F7C98811216}" destId="{AA9FDCA3-77E5-40F6-B7CB-08054EFAD3A2}" srcOrd="0" destOrd="0" presId="urn:microsoft.com/office/officeart/2005/8/layout/hList1"/>
    <dgm:cxn modelId="{FE122FC0-437E-4141-A5D1-F4DD9C85CF6E}" type="presOf" srcId="{216AA213-D676-4E07-A46C-F5C59AC03F81}" destId="{BAEA2AD7-B666-4C8A-A976-8AC897DE0111}" srcOrd="0" destOrd="3" presId="urn:microsoft.com/office/officeart/2005/8/layout/hList1"/>
    <dgm:cxn modelId="{178A53FE-D068-424A-A14D-C9B9B14DA56F}" type="presOf" srcId="{35356487-A47B-4790-8568-32702E197A74}" destId="{BAEA2AD7-B666-4C8A-A976-8AC897DE0111}" srcOrd="0" destOrd="2" presId="urn:microsoft.com/office/officeart/2005/8/layout/hList1"/>
    <dgm:cxn modelId="{48122021-0A9F-47F7-917C-9640A9DB69EE}" type="presParOf" srcId="{9D244720-5BF2-4F87-88EE-009D434D64DC}" destId="{662AAAC1-CB1B-405E-A2E2-3B669C31E3D3}" srcOrd="0" destOrd="0" presId="urn:microsoft.com/office/officeart/2005/8/layout/hList1"/>
    <dgm:cxn modelId="{A6A7215E-4C76-4ACD-A873-9D587417D73B}" type="presParOf" srcId="{662AAAC1-CB1B-405E-A2E2-3B669C31E3D3}" destId="{AA9FDCA3-77E5-40F6-B7CB-08054EFAD3A2}" srcOrd="0" destOrd="0" presId="urn:microsoft.com/office/officeart/2005/8/layout/hList1"/>
    <dgm:cxn modelId="{D2CB7105-86A6-464A-995C-BBE4588BB607}" type="presParOf" srcId="{662AAAC1-CB1B-405E-A2E2-3B669C31E3D3}" destId="{BAEA2AD7-B666-4C8A-A976-8AC897DE0111}" srcOrd="1" destOrd="0" presId="urn:microsoft.com/office/officeart/2005/8/layout/hList1"/>
    <dgm:cxn modelId="{0A01840F-70EB-426B-AD5E-46D7A2A3843A}" type="presParOf" srcId="{9D244720-5BF2-4F87-88EE-009D434D64DC}" destId="{39C323AA-8D25-42FA-B7C9-D769CDCD134D}" srcOrd="1" destOrd="0" presId="urn:microsoft.com/office/officeart/2005/8/layout/hList1"/>
    <dgm:cxn modelId="{C4C43D67-3F06-4E89-89D7-C4A144B76847}" type="presParOf" srcId="{9D244720-5BF2-4F87-88EE-009D434D64DC}" destId="{773CC97D-8B37-48F8-883A-140E1FF33861}" srcOrd="2" destOrd="0" presId="urn:microsoft.com/office/officeart/2005/8/layout/hList1"/>
    <dgm:cxn modelId="{F44873FB-045C-4990-B388-088EE398DD79}" type="presParOf" srcId="{773CC97D-8B37-48F8-883A-140E1FF33861}" destId="{35C86D5E-E765-4E61-ADF7-0ECD16078F83}" srcOrd="0" destOrd="0" presId="urn:microsoft.com/office/officeart/2005/8/layout/hList1"/>
    <dgm:cxn modelId="{FADC26F3-C611-481F-9A5D-9DF90CAE5F2F}" type="presParOf" srcId="{773CC97D-8B37-48F8-883A-140E1FF33861}" destId="{A87C9521-83A5-4B62-879A-FB60E8464BFB}"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9FDCA3-77E5-40F6-B7CB-08054EFAD3A2}">
      <dsp:nvSpPr>
        <dsp:cNvPr id="0" name=""/>
        <dsp:cNvSpPr/>
      </dsp:nvSpPr>
      <dsp:spPr>
        <a:xfrm>
          <a:off x="23" y="20333"/>
          <a:ext cx="2290131" cy="246253"/>
        </a:xfrm>
        <a:prstGeom prst="rect">
          <a:avLst/>
        </a:prstGeom>
        <a:solidFill>
          <a:schemeClr val="accent2"/>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Fiksētā daļa</a:t>
          </a:r>
        </a:p>
      </dsp:txBody>
      <dsp:txXfrm>
        <a:off x="23" y="20333"/>
        <a:ext cx="2290131" cy="246253"/>
      </dsp:txXfrm>
    </dsp:sp>
    <dsp:sp modelId="{BAEA2AD7-B666-4C8A-A976-8AC897DE0111}">
      <dsp:nvSpPr>
        <dsp:cNvPr id="0" name=""/>
        <dsp:cNvSpPr/>
      </dsp:nvSpPr>
      <dsp:spPr>
        <a:xfrm>
          <a:off x="23" y="266586"/>
          <a:ext cx="2290131" cy="307439"/>
        </a:xfrm>
        <a:prstGeom prst="rect">
          <a:avLst/>
        </a:prstGeom>
        <a:solidFill>
          <a:schemeClr val="accent2">
            <a:lumMod val="20000"/>
            <a:lumOff val="80000"/>
            <a:alpha val="90000"/>
          </a:schemeClr>
        </a:solidFill>
        <a:ln w="12700" cap="flat" cmpd="sng" algn="ctr">
          <a:solidFill>
            <a:schemeClr val="bg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ctr"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Mēneša alga</a:t>
          </a:r>
        </a:p>
      </dsp:txBody>
      <dsp:txXfrm>
        <a:off x="23" y="266586"/>
        <a:ext cx="2290131" cy="307439"/>
      </dsp:txXfrm>
    </dsp:sp>
    <dsp:sp modelId="{35C86D5E-E765-4E61-ADF7-0ECD16078F83}">
      <dsp:nvSpPr>
        <dsp:cNvPr id="0" name=""/>
        <dsp:cNvSpPr/>
      </dsp:nvSpPr>
      <dsp:spPr>
        <a:xfrm>
          <a:off x="2610774" y="20333"/>
          <a:ext cx="2290131" cy="246253"/>
        </a:xfrm>
        <a:prstGeom prst="rect">
          <a:avLst/>
        </a:prstGeom>
        <a:solidFill>
          <a:schemeClr val="accent2"/>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Mainīgā daļa</a:t>
          </a:r>
        </a:p>
      </dsp:txBody>
      <dsp:txXfrm>
        <a:off x="2610774" y="20333"/>
        <a:ext cx="2290131" cy="246253"/>
      </dsp:txXfrm>
    </dsp:sp>
    <dsp:sp modelId="{A87C9521-83A5-4B62-879A-FB60E8464BFB}">
      <dsp:nvSpPr>
        <dsp:cNvPr id="0" name=""/>
        <dsp:cNvSpPr/>
      </dsp:nvSpPr>
      <dsp:spPr>
        <a:xfrm>
          <a:off x="2610774" y="266586"/>
          <a:ext cx="2290131" cy="307439"/>
        </a:xfrm>
        <a:prstGeom prst="rect">
          <a:avLst/>
        </a:prstGeom>
        <a:solidFill>
          <a:schemeClr val="accent2">
            <a:lumMod val="20000"/>
            <a:lumOff val="80000"/>
            <a:alpha val="90000"/>
          </a:schemeClr>
        </a:solidFill>
        <a:ln w="12700" cap="flat" cmpd="sng" algn="ctr">
          <a:solidFill>
            <a:schemeClr val="bg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ctr" defTabSz="488950">
            <a:lnSpc>
              <a:spcPct val="90000"/>
            </a:lnSpc>
            <a:spcBef>
              <a:spcPct val="0"/>
            </a:spcBef>
            <a:spcAft>
              <a:spcPct val="15000"/>
            </a:spcAft>
            <a:buChar char="•"/>
          </a:pPr>
          <a:r>
            <a:rPr lang="lv-LV" sz="1100" b="0" kern="1200">
              <a:latin typeface="Times New Roman" panose="02020603050405020304" pitchFamily="18" charset="0"/>
              <a:cs typeface="Times New Roman" panose="02020603050405020304" pitchFamily="18" charset="0"/>
            </a:rPr>
            <a:t>Prēmija</a:t>
          </a:r>
        </a:p>
      </dsp:txBody>
      <dsp:txXfrm>
        <a:off x="2610774" y="266586"/>
        <a:ext cx="2290131" cy="3074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9FDCA3-77E5-40F6-B7CB-08054EFAD3A2}">
      <dsp:nvSpPr>
        <dsp:cNvPr id="0" name=""/>
        <dsp:cNvSpPr/>
      </dsp:nvSpPr>
      <dsp:spPr>
        <a:xfrm>
          <a:off x="25" y="26895"/>
          <a:ext cx="2464606" cy="525288"/>
        </a:xfrm>
        <a:prstGeom prst="rect">
          <a:avLst/>
        </a:prstGeom>
        <a:solidFill>
          <a:schemeClr val="accent2"/>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Apdrošināšanas un atsaukšanas pabalsts</a:t>
          </a:r>
        </a:p>
      </dsp:txBody>
      <dsp:txXfrm>
        <a:off x="25" y="26895"/>
        <a:ext cx="2464606" cy="525288"/>
      </dsp:txXfrm>
    </dsp:sp>
    <dsp:sp modelId="{BAEA2AD7-B666-4C8A-A976-8AC897DE0111}">
      <dsp:nvSpPr>
        <dsp:cNvPr id="0" name=""/>
        <dsp:cNvSpPr/>
      </dsp:nvSpPr>
      <dsp:spPr>
        <a:xfrm>
          <a:off x="25" y="526829"/>
          <a:ext cx="2464606" cy="960749"/>
        </a:xfrm>
        <a:prstGeom prst="rect">
          <a:avLst/>
        </a:prstGeom>
        <a:solidFill>
          <a:schemeClr val="accent2">
            <a:lumMod val="20000"/>
            <a:lumOff val="80000"/>
            <a:alpha val="90000"/>
          </a:schemeClr>
        </a:solidFill>
        <a:ln w="12700" cap="flat" cmpd="sng" algn="ctr">
          <a:solidFill>
            <a:schemeClr val="bg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Veselības apdrošināšana</a:t>
          </a:r>
        </a:p>
        <a:p>
          <a:pPr marL="57150" lvl="1" indent="-57150" algn="just"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Civiltiesiskā apdrošināšana</a:t>
          </a:r>
        </a:p>
        <a:p>
          <a:pPr marL="57150" lvl="1" indent="-57150" algn="just"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Ar nosūtīšanu komandējumā saistīta apdrošināšana</a:t>
          </a:r>
        </a:p>
        <a:p>
          <a:pPr marL="57150" lvl="1" indent="-57150" algn="just" defTabSz="488950">
            <a:lnSpc>
              <a:spcPct val="90000"/>
            </a:lnSpc>
            <a:spcBef>
              <a:spcPct val="0"/>
            </a:spcBef>
            <a:spcAft>
              <a:spcPct val="15000"/>
            </a:spcAft>
            <a:buChar char="•"/>
          </a:pPr>
          <a:r>
            <a:rPr lang="lv-LV" sz="1100" kern="1200">
              <a:latin typeface="Times New Roman" panose="02020603050405020304" pitchFamily="18" charset="0"/>
              <a:cs typeface="Times New Roman" panose="02020603050405020304" pitchFamily="18" charset="0"/>
            </a:rPr>
            <a:t>Atsaukšanas pabalsts</a:t>
          </a:r>
        </a:p>
      </dsp:txBody>
      <dsp:txXfrm>
        <a:off x="25" y="526829"/>
        <a:ext cx="2464606" cy="960749"/>
      </dsp:txXfrm>
    </dsp:sp>
    <dsp:sp modelId="{35C86D5E-E765-4E61-ADF7-0ECD16078F83}">
      <dsp:nvSpPr>
        <dsp:cNvPr id="0" name=""/>
        <dsp:cNvSpPr/>
      </dsp:nvSpPr>
      <dsp:spPr>
        <a:xfrm>
          <a:off x="2809677" y="26895"/>
          <a:ext cx="2464606" cy="525288"/>
        </a:xfrm>
        <a:prstGeom prst="rect">
          <a:avLst/>
        </a:prstGeom>
        <a:solidFill>
          <a:schemeClr val="accent2"/>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Tehniskais nodrošinājums</a:t>
          </a:r>
        </a:p>
      </dsp:txBody>
      <dsp:txXfrm>
        <a:off x="2809677" y="26895"/>
        <a:ext cx="2464606" cy="525288"/>
      </dsp:txXfrm>
    </dsp:sp>
    <dsp:sp modelId="{A87C9521-83A5-4B62-879A-FB60E8464BFB}">
      <dsp:nvSpPr>
        <dsp:cNvPr id="0" name=""/>
        <dsp:cNvSpPr/>
      </dsp:nvSpPr>
      <dsp:spPr>
        <a:xfrm>
          <a:off x="2809677" y="526829"/>
          <a:ext cx="2464606" cy="960749"/>
        </a:xfrm>
        <a:prstGeom prst="rect">
          <a:avLst/>
        </a:prstGeom>
        <a:solidFill>
          <a:schemeClr val="accent2">
            <a:lumMod val="20000"/>
            <a:lumOff val="80000"/>
            <a:alpha val="90000"/>
          </a:schemeClr>
        </a:solidFill>
        <a:ln w="12700" cap="flat" cmpd="sng" algn="ctr">
          <a:solidFill>
            <a:schemeClr val="accent1">
              <a:lumMod val="20000"/>
              <a:lumOff val="8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lv-LV" sz="1100" b="0" kern="1200">
              <a:latin typeface="Times New Roman" panose="02020603050405020304" pitchFamily="18" charset="0"/>
              <a:cs typeface="Times New Roman" panose="02020603050405020304" pitchFamily="18" charset="0"/>
            </a:rPr>
            <a:t>Datortehnika</a:t>
          </a:r>
        </a:p>
        <a:p>
          <a:pPr marL="57150" lvl="1" indent="-57150" algn="just" defTabSz="488950">
            <a:lnSpc>
              <a:spcPct val="90000"/>
            </a:lnSpc>
            <a:spcBef>
              <a:spcPct val="0"/>
            </a:spcBef>
            <a:spcAft>
              <a:spcPct val="15000"/>
            </a:spcAft>
            <a:buChar char="•"/>
          </a:pPr>
          <a:r>
            <a:rPr lang="lv-LV" sz="1100" b="0" kern="1200">
              <a:latin typeface="Times New Roman" panose="02020603050405020304" pitchFamily="18" charset="0"/>
              <a:cs typeface="Times New Roman" panose="02020603050405020304" pitchFamily="18" charset="0"/>
            </a:rPr>
            <a:t>Tālrunis</a:t>
          </a:r>
        </a:p>
      </dsp:txBody>
      <dsp:txXfrm>
        <a:off x="2809677" y="526829"/>
        <a:ext cx="2464606" cy="96074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0D10-CC18-4CE2-B9DA-ECAEC2C3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4685</Words>
  <Characters>2671</Characters>
  <Application>Microsoft Office Word</Application>
  <DocSecurity>4</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Audits</dc:creator>
  <cp:keywords/>
  <dc:description/>
  <cp:lastModifiedBy>Anda</cp:lastModifiedBy>
  <cp:revision>2</cp:revision>
  <dcterms:created xsi:type="dcterms:W3CDTF">2026-02-17T08:17:00Z</dcterms:created>
  <dcterms:modified xsi:type="dcterms:W3CDTF">2026-02-17T08:17:00Z</dcterms:modified>
</cp:coreProperties>
</file>